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AC5" w:rsidRDefault="00405AC5" w:rsidP="00130794">
      <w:pPr>
        <w:jc w:val="center"/>
        <w:rPr>
          <w:b/>
          <w:color w:val="262626"/>
          <w:sz w:val="28"/>
          <w:szCs w:val="28"/>
        </w:rPr>
      </w:pPr>
      <w:bookmarkStart w:id="0" w:name="OLE_LINK1"/>
      <w:r>
        <w:rPr>
          <w:b/>
          <w:color w:val="262626"/>
          <w:sz w:val="28"/>
          <w:szCs w:val="28"/>
        </w:rPr>
        <w:t>Iepirkuma procedūras</w:t>
      </w:r>
    </w:p>
    <w:bookmarkEnd w:id="0"/>
    <w:p w:rsidR="00405AC5" w:rsidRPr="00D1385C" w:rsidRDefault="00405AC5" w:rsidP="00D1385C">
      <w:pPr>
        <w:jc w:val="center"/>
        <w:rPr>
          <w:b/>
          <w:bCs/>
          <w:sz w:val="28"/>
          <w:szCs w:val="28"/>
        </w:rPr>
      </w:pPr>
      <w:r w:rsidRPr="00D1385C">
        <w:rPr>
          <w:b/>
          <w:bCs/>
          <w:sz w:val="28"/>
          <w:szCs w:val="28"/>
        </w:rPr>
        <w:t>“</w:t>
      </w:r>
      <w:r w:rsidR="00D1385C" w:rsidRPr="00D1385C">
        <w:rPr>
          <w:b/>
          <w:bCs/>
          <w:sz w:val="28"/>
          <w:szCs w:val="28"/>
        </w:rPr>
        <w:t>Autoservisa pakalpojumi pašvaldības autobusiem pēc nepieciešamības</w:t>
      </w:r>
      <w:r w:rsidRPr="00D1385C">
        <w:rPr>
          <w:b/>
          <w:bCs/>
          <w:sz w:val="28"/>
          <w:szCs w:val="28"/>
        </w:rPr>
        <w:t>”</w:t>
      </w:r>
    </w:p>
    <w:p w:rsidR="00D02289" w:rsidRPr="00405AC5" w:rsidRDefault="00D02289" w:rsidP="00405AC5">
      <w:pPr>
        <w:jc w:val="center"/>
        <w:rPr>
          <w:b/>
          <w:bCs/>
          <w:sz w:val="32"/>
          <w:szCs w:val="32"/>
        </w:rPr>
      </w:pPr>
    </w:p>
    <w:p w:rsidR="00405AC5" w:rsidRPr="00405AC5" w:rsidRDefault="00405AC5" w:rsidP="00405AC5">
      <w:pPr>
        <w:jc w:val="center"/>
        <w:rPr>
          <w:bCs/>
        </w:rPr>
      </w:pPr>
      <w:r w:rsidRPr="00405AC5">
        <w:rPr>
          <w:bCs/>
        </w:rPr>
        <w:t xml:space="preserve"> Iepirkuma identifikācijas Nr. ĶNP 2016/</w:t>
      </w:r>
      <w:r w:rsidR="00D1385C">
        <w:rPr>
          <w:bCs/>
        </w:rPr>
        <w:t>19</w:t>
      </w:r>
    </w:p>
    <w:p w:rsidR="00405AC5" w:rsidRDefault="00405AC5" w:rsidP="00405AC5">
      <w:pPr>
        <w:jc w:val="center"/>
        <w:rPr>
          <w:bCs/>
        </w:rPr>
      </w:pPr>
      <w:r w:rsidRPr="00405AC5">
        <w:rPr>
          <w:bCs/>
        </w:rPr>
        <w:t xml:space="preserve"> (saskaņā ar Publisko iepirkumu likuma 8.</w:t>
      </w:r>
      <w:r w:rsidRPr="00405AC5">
        <w:rPr>
          <w:bCs/>
          <w:vertAlign w:val="superscript"/>
        </w:rPr>
        <w:t>2</w:t>
      </w:r>
      <w:r w:rsidRPr="00405AC5">
        <w:rPr>
          <w:bCs/>
        </w:rPr>
        <w:t xml:space="preserve"> pantu)</w:t>
      </w:r>
    </w:p>
    <w:p w:rsidR="00D02289" w:rsidRPr="00405AC5" w:rsidRDefault="00D02289" w:rsidP="00405AC5">
      <w:pPr>
        <w:jc w:val="center"/>
      </w:pPr>
    </w:p>
    <w:p w:rsidR="00405AC5" w:rsidRDefault="00405AC5" w:rsidP="00405AC5">
      <w:pPr>
        <w:jc w:val="center"/>
        <w:rPr>
          <w:b/>
          <w:bCs/>
        </w:rPr>
      </w:pPr>
      <w:smartTag w:uri="schemas-tilde-lv/tildestengine" w:element="veidnes">
        <w:smartTagPr>
          <w:attr w:name="id" w:val="-1"/>
          <w:attr w:name="baseform" w:val="protokols"/>
          <w:attr w:name="text" w:val="PROTOKOLS&#10;"/>
        </w:smartTagPr>
        <w:r>
          <w:rPr>
            <w:b/>
            <w:bCs/>
          </w:rPr>
          <w:t>PROTOKOLS</w:t>
        </w:r>
      </w:smartTag>
    </w:p>
    <w:p w:rsidR="00D02289" w:rsidRDefault="00D02289" w:rsidP="00405AC5">
      <w:pPr>
        <w:jc w:val="center"/>
        <w:rPr>
          <w:b/>
          <w:bCs/>
        </w:rPr>
      </w:pPr>
    </w:p>
    <w:p w:rsidR="00405AC5" w:rsidRDefault="00405AC5" w:rsidP="00405AC5">
      <w:r>
        <w:t>Ķekavas pagasts, Ķekavas novads</w:t>
      </w:r>
      <w:r>
        <w:tab/>
      </w:r>
      <w:r>
        <w:tab/>
      </w:r>
      <w:r>
        <w:tab/>
      </w:r>
      <w:r>
        <w:tab/>
      </w:r>
      <w:r>
        <w:tab/>
      </w:r>
    </w:p>
    <w:p w:rsidR="00405AC5" w:rsidRDefault="00405AC5" w:rsidP="00405AC5">
      <w:pPr>
        <w:jc w:val="right"/>
      </w:pPr>
      <w:proofErr w:type="gramStart"/>
      <w:r>
        <w:t>2016.gada</w:t>
      </w:r>
      <w:proofErr w:type="gramEnd"/>
      <w:r>
        <w:t xml:space="preserve"> </w:t>
      </w:r>
      <w:r w:rsidR="003765C1">
        <w:t>1</w:t>
      </w:r>
      <w:r w:rsidR="005E1B1C">
        <w:t>4</w:t>
      </w:r>
      <w:r w:rsidR="00FA2DF1">
        <w:t>.jūnijs</w:t>
      </w:r>
    </w:p>
    <w:p w:rsidR="00405AC5" w:rsidRDefault="00405AC5" w:rsidP="00405AC5">
      <w:r>
        <w:t>Plkst.</w:t>
      </w:r>
      <w:r w:rsidR="00FA32F4">
        <w:t>10:2</w:t>
      </w:r>
      <w:bookmarkStart w:id="1" w:name="_GoBack"/>
      <w:bookmarkEnd w:id="1"/>
      <w:r w:rsidR="00FA32F4">
        <w:t>0</w:t>
      </w:r>
    </w:p>
    <w:p w:rsidR="00405AC5" w:rsidRDefault="00405AC5" w:rsidP="00405AC5">
      <w:pPr>
        <w:rPr>
          <w:sz w:val="16"/>
          <w:szCs w:val="16"/>
        </w:rPr>
      </w:pPr>
    </w:p>
    <w:p w:rsidR="00636CE1" w:rsidRDefault="00636CE1" w:rsidP="00405AC5">
      <w:pPr>
        <w:rPr>
          <w:sz w:val="16"/>
          <w:szCs w:val="16"/>
        </w:rPr>
      </w:pPr>
    </w:p>
    <w:p w:rsidR="00405AC5" w:rsidRPr="00885B23" w:rsidRDefault="00405AC5" w:rsidP="00405AC5">
      <w:pPr>
        <w:spacing w:line="240" w:lineRule="exact"/>
        <w:jc w:val="both"/>
      </w:pPr>
      <w:r w:rsidRPr="00885B23">
        <w:rPr>
          <w:i/>
          <w:iCs/>
        </w:rPr>
        <w:t>Pasūtītājs</w:t>
      </w:r>
      <w:r w:rsidRPr="00885B23">
        <w:t xml:space="preserve">: Ķekavas novada pašvaldība, </w:t>
      </w:r>
      <w:r w:rsidR="00D1385C">
        <w:t xml:space="preserve">NMR </w:t>
      </w:r>
      <w:r w:rsidRPr="00885B23">
        <w:t>90000048491, juridiskā adrese: Gaismas iela 19 k-9-1, Ķekava, Ķekavas pagasts, Ķekavas novads.</w:t>
      </w:r>
    </w:p>
    <w:p w:rsidR="00405AC5" w:rsidRPr="00885B23" w:rsidRDefault="00405AC5" w:rsidP="00405AC5">
      <w:pPr>
        <w:spacing w:line="240" w:lineRule="exact"/>
        <w:jc w:val="both"/>
        <w:rPr>
          <w:i/>
          <w:iCs/>
        </w:rPr>
      </w:pPr>
      <w:r w:rsidRPr="00885B23">
        <w:rPr>
          <w:i/>
          <w:iCs/>
        </w:rPr>
        <w:t>Komisijas priekšsēdētājs</w:t>
      </w:r>
      <w:r w:rsidRPr="00885B23">
        <w:t>:</w:t>
      </w:r>
      <w:r w:rsidRPr="00885B23">
        <w:rPr>
          <w:i/>
          <w:iCs/>
        </w:rPr>
        <w:t xml:space="preserve"> </w:t>
      </w:r>
      <w:proofErr w:type="spellStart"/>
      <w:r w:rsidRPr="00885B23">
        <w:t>A.Liškovskis</w:t>
      </w:r>
      <w:proofErr w:type="spellEnd"/>
    </w:p>
    <w:p w:rsidR="00405AC5" w:rsidRPr="00885B23" w:rsidRDefault="00405AC5" w:rsidP="00405AC5">
      <w:pPr>
        <w:spacing w:line="240" w:lineRule="exact"/>
        <w:jc w:val="both"/>
      </w:pPr>
      <w:r w:rsidRPr="00885B23">
        <w:rPr>
          <w:i/>
          <w:iCs/>
        </w:rPr>
        <w:t>Komisijas locekļi</w:t>
      </w:r>
      <w:r w:rsidRPr="00885B23">
        <w:t xml:space="preserve">: </w:t>
      </w:r>
      <w:proofErr w:type="spellStart"/>
      <w:r w:rsidRPr="00885B23">
        <w:t>L.Danileviča</w:t>
      </w:r>
      <w:proofErr w:type="spellEnd"/>
      <w:r w:rsidRPr="00885B23">
        <w:t>, J.Zvaigzne, I.Kalniņš, J.Firsts</w:t>
      </w:r>
    </w:p>
    <w:p w:rsidR="00405AC5" w:rsidRPr="00885B23" w:rsidRDefault="00405AC5" w:rsidP="00405AC5">
      <w:pPr>
        <w:spacing w:line="240" w:lineRule="exact"/>
        <w:jc w:val="both"/>
      </w:pPr>
      <w:r w:rsidRPr="00885B23">
        <w:rPr>
          <w:i/>
          <w:iCs/>
        </w:rPr>
        <w:t>Komisijas izveidošanas pamatojums</w:t>
      </w:r>
      <w:r w:rsidRPr="00885B23">
        <w:t xml:space="preserve">: Ķekavas novada domes </w:t>
      </w:r>
      <w:proofErr w:type="gramStart"/>
      <w:r w:rsidRPr="00885B23">
        <w:t>2009.gada</w:t>
      </w:r>
      <w:proofErr w:type="gramEnd"/>
      <w:r w:rsidRPr="00885B23">
        <w:t xml:space="preserve"> 7.jūlija lēmums Nr.4.§ (Prot. Nr.2), </w:t>
      </w:r>
      <w:proofErr w:type="gramStart"/>
      <w:r w:rsidRPr="00885B23">
        <w:t>2010.gada</w:t>
      </w:r>
      <w:proofErr w:type="gramEnd"/>
      <w:r w:rsidRPr="00885B23">
        <w:t xml:space="preserve"> 8.aprīļa lēmums Nr.1.§ 1.1. (Prot. Nr.9), </w:t>
      </w:r>
      <w:proofErr w:type="gramStart"/>
      <w:r w:rsidRPr="00885B23">
        <w:t>2010.gada</w:t>
      </w:r>
      <w:proofErr w:type="gramEnd"/>
      <w:r w:rsidRPr="00885B23">
        <w:t xml:space="preserve"> 10.februāra lēmums Nr.1.§ 1. (Prot. Nr.2), </w:t>
      </w:r>
      <w:proofErr w:type="gramStart"/>
      <w:r w:rsidRPr="00885B23">
        <w:t>2011.gada</w:t>
      </w:r>
      <w:proofErr w:type="gramEnd"/>
      <w:r w:rsidRPr="00885B23">
        <w:t xml:space="preserve"> 24.februāra lēmums Nr.8.§ 2. (Prot. Nr.3), </w:t>
      </w:r>
      <w:proofErr w:type="gramStart"/>
      <w:r w:rsidRPr="00885B23">
        <w:t>2012.gada</w:t>
      </w:r>
      <w:proofErr w:type="gramEnd"/>
      <w:r w:rsidRPr="00885B23">
        <w:t xml:space="preserve"> 28.jūnija lēmums Nr.6.§ 2. (Prot. Nr.13), </w:t>
      </w:r>
      <w:proofErr w:type="gramStart"/>
      <w:r w:rsidRPr="00885B23">
        <w:t>2014.gada</w:t>
      </w:r>
      <w:proofErr w:type="gramEnd"/>
      <w:r w:rsidRPr="00885B23">
        <w:t xml:space="preserve"> 24.aprīļa lēmums Nr.1.§ 3. (Prot. Nr.12),</w:t>
      </w:r>
    </w:p>
    <w:p w:rsidR="001D19E3" w:rsidRPr="00885B23" w:rsidRDefault="00405AC5" w:rsidP="001D19E3">
      <w:pPr>
        <w:spacing w:line="240" w:lineRule="exact"/>
        <w:jc w:val="both"/>
        <w:rPr>
          <w:i/>
          <w:iCs/>
        </w:rPr>
      </w:pPr>
      <w:r w:rsidRPr="00885B23">
        <w:rPr>
          <w:i/>
          <w:iCs/>
        </w:rPr>
        <w:t>Nepiedalās:</w:t>
      </w:r>
      <w:r w:rsidR="001D19E3" w:rsidRPr="001D19E3">
        <w:t xml:space="preserve"> </w:t>
      </w:r>
      <w:r w:rsidR="00FA32F4">
        <w:t>-</w:t>
      </w:r>
    </w:p>
    <w:p w:rsidR="00405AC5" w:rsidRPr="00885B23" w:rsidRDefault="00405AC5" w:rsidP="00405AC5">
      <w:r w:rsidRPr="00885B23">
        <w:t xml:space="preserve">Protokolē: </w:t>
      </w:r>
      <w:proofErr w:type="spellStart"/>
      <w:r w:rsidR="00FA2DF1">
        <w:t>I.Viegliņa</w:t>
      </w:r>
      <w:proofErr w:type="spellEnd"/>
    </w:p>
    <w:p w:rsidR="00405AC5" w:rsidRPr="00885B23" w:rsidRDefault="00405AC5" w:rsidP="00405AC5"/>
    <w:p w:rsidR="00405AC5" w:rsidRDefault="00405AC5" w:rsidP="00405AC5">
      <w:pPr>
        <w:contextualSpacing/>
        <w:jc w:val="both"/>
        <w:rPr>
          <w:b/>
          <w:bCs/>
        </w:rPr>
      </w:pPr>
      <w:r w:rsidRPr="00885B23">
        <w:rPr>
          <w:b/>
          <w:bCs/>
        </w:rPr>
        <w:t>Darba kārtība:</w:t>
      </w:r>
      <w:r>
        <w:rPr>
          <w:b/>
          <w:bCs/>
        </w:rPr>
        <w:t xml:space="preserve"> </w:t>
      </w:r>
      <w:r w:rsidRPr="005F43E4">
        <w:rPr>
          <w:b/>
          <w:bCs/>
        </w:rPr>
        <w:t>Piedāvājumu</w:t>
      </w:r>
      <w:r>
        <w:rPr>
          <w:b/>
          <w:bCs/>
        </w:rPr>
        <w:t xml:space="preserve"> vērtēšana un lēmuma pieņemšana </w:t>
      </w:r>
    </w:p>
    <w:p w:rsidR="00405AC5" w:rsidRDefault="00405AC5" w:rsidP="00405AC5">
      <w:pPr>
        <w:rPr>
          <w:sz w:val="8"/>
          <w:szCs w:val="8"/>
        </w:rPr>
      </w:pPr>
    </w:p>
    <w:p w:rsidR="00405AC5" w:rsidRDefault="00405AC5" w:rsidP="00405AC5">
      <w:pPr>
        <w:rPr>
          <w:sz w:val="8"/>
          <w:szCs w:val="8"/>
        </w:rPr>
      </w:pPr>
    </w:p>
    <w:p w:rsidR="0048790D" w:rsidRPr="0048790D" w:rsidRDefault="00DC5D6B" w:rsidP="0048790D">
      <w:pPr>
        <w:pStyle w:val="ListParagraph"/>
        <w:numPr>
          <w:ilvl w:val="0"/>
          <w:numId w:val="3"/>
        </w:numPr>
        <w:jc w:val="both"/>
        <w:rPr>
          <w:bCs/>
        </w:rPr>
      </w:pPr>
      <w:r w:rsidRPr="0048790D">
        <w:rPr>
          <w:b/>
        </w:rPr>
        <w:t>Atlases prasības un iesniedzamie dokumenti</w:t>
      </w:r>
      <w:r w:rsidR="00405AC5" w:rsidRPr="0048790D">
        <w:rPr>
          <w:bCs/>
        </w:rPr>
        <w:t xml:space="preserve">. </w:t>
      </w:r>
    </w:p>
    <w:p w:rsidR="00405AC5" w:rsidRDefault="00405AC5" w:rsidP="0048790D">
      <w:pPr>
        <w:pStyle w:val="ListParagraph"/>
        <w:jc w:val="both"/>
      </w:pPr>
      <w:r w:rsidRPr="00AD12E7">
        <w:t>Iepirkum</w:t>
      </w:r>
      <w:r>
        <w:t>u</w:t>
      </w:r>
      <w:r w:rsidRPr="00AD12E7">
        <w:t xml:space="preserve"> komisija pārbauda, vai piedāvājum</w:t>
      </w:r>
      <w:r>
        <w:t>i</w:t>
      </w:r>
      <w:r w:rsidRPr="00AD12E7">
        <w:t xml:space="preserve"> </w:t>
      </w:r>
      <w:r>
        <w:t>izstrādāti</w:t>
      </w:r>
      <w:r w:rsidRPr="00AD12E7">
        <w:t xml:space="preserve"> un noformēt</w:t>
      </w:r>
      <w:r>
        <w:t>i</w:t>
      </w:r>
      <w:r w:rsidRPr="00AD12E7">
        <w:t xml:space="preserve"> atbilstoši </w:t>
      </w:r>
      <w:r>
        <w:t xml:space="preserve">iepirkuma procedūras </w:t>
      </w:r>
      <w:smartTag w:uri="schemas-tilde-lv/tildestengine" w:element="veidnes">
        <w:smartTagPr>
          <w:attr w:name="baseform" w:val="nolikum|s"/>
          <w:attr w:name="id" w:val="-1"/>
          <w:attr w:name="text" w:val="nolikuma"/>
        </w:smartTagPr>
        <w:r w:rsidRPr="00AD12E7">
          <w:t>nolikuma</w:t>
        </w:r>
      </w:smartTag>
      <w:r w:rsidRPr="00AD12E7">
        <w:t xml:space="preserve"> prasībām un iesniegt</w:t>
      </w:r>
      <w:r>
        <w:t>o</w:t>
      </w:r>
      <w:r w:rsidRPr="00AD12E7">
        <w:t xml:space="preserve"> pretendent</w:t>
      </w:r>
      <w:r>
        <w:t>u</w:t>
      </w:r>
      <w:r w:rsidRPr="00AD12E7">
        <w:t xml:space="preserve"> atlases dokumentu atbilstību </w:t>
      </w:r>
      <w:r>
        <w:t xml:space="preserve">iepirkuma procedūras </w:t>
      </w:r>
      <w:smartTag w:uri="schemas-tilde-lv/tildestengine" w:element="veidnes">
        <w:smartTagPr>
          <w:attr w:name="baseform" w:val="nolikum|s"/>
          <w:attr w:name="id" w:val="-1"/>
          <w:attr w:name="text" w:val="nolikuma"/>
        </w:smartTagPr>
        <w:r w:rsidRPr="00AD12E7">
          <w:t>nolikuma</w:t>
        </w:r>
      </w:smartTag>
      <w:r w:rsidRPr="00AD12E7">
        <w:t xml:space="preserve"> prasībām.</w:t>
      </w:r>
    </w:p>
    <w:p w:rsidR="00636CE1" w:rsidRPr="0048790D" w:rsidRDefault="00636CE1" w:rsidP="0048790D">
      <w:pPr>
        <w:pStyle w:val="ListParagraph"/>
        <w:jc w:val="both"/>
        <w:rPr>
          <w:u w:val="single"/>
        </w:rPr>
      </w:pPr>
    </w:p>
    <w:tbl>
      <w:tblPr>
        <w:tblW w:w="9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969"/>
        <w:gridCol w:w="4340"/>
      </w:tblGrid>
      <w:tr w:rsidR="00405AC5" w:rsidRPr="00E55344" w:rsidTr="00021FBD">
        <w:trPr>
          <w:trHeight w:val="568"/>
          <w:jc w:val="center"/>
        </w:trPr>
        <w:tc>
          <w:tcPr>
            <w:tcW w:w="704" w:type="dxa"/>
            <w:vAlign w:val="center"/>
          </w:tcPr>
          <w:p w:rsidR="00405AC5" w:rsidRPr="00E55344" w:rsidRDefault="00405AC5" w:rsidP="00021FBD">
            <w:pPr>
              <w:rPr>
                <w:b/>
              </w:rPr>
            </w:pPr>
            <w:r w:rsidRPr="00E55344">
              <w:rPr>
                <w:b/>
              </w:rPr>
              <w:t>Nr. p.k.</w:t>
            </w:r>
          </w:p>
        </w:tc>
        <w:tc>
          <w:tcPr>
            <w:tcW w:w="3969" w:type="dxa"/>
            <w:vAlign w:val="center"/>
          </w:tcPr>
          <w:p w:rsidR="00405AC5" w:rsidRPr="00E55344" w:rsidRDefault="00405AC5" w:rsidP="00021FBD">
            <w:pPr>
              <w:rPr>
                <w:b/>
              </w:rPr>
            </w:pPr>
            <w:r w:rsidRPr="00E55344">
              <w:rPr>
                <w:b/>
              </w:rPr>
              <w:t>Pretendents</w:t>
            </w:r>
          </w:p>
        </w:tc>
        <w:tc>
          <w:tcPr>
            <w:tcW w:w="4340" w:type="dxa"/>
            <w:vAlign w:val="center"/>
          </w:tcPr>
          <w:p w:rsidR="00405AC5" w:rsidRPr="00E55344" w:rsidRDefault="00405AC5" w:rsidP="00021FBD">
            <w:pPr>
              <w:rPr>
                <w:b/>
              </w:rPr>
            </w:pPr>
            <w:r w:rsidRPr="00E55344">
              <w:rPr>
                <w:bCs/>
              </w:rPr>
              <w:t>Piedāvājuma noformējuma un iesniegto dokumentu atbilstības pārbaude</w:t>
            </w:r>
          </w:p>
        </w:tc>
      </w:tr>
      <w:tr w:rsidR="00695FDB" w:rsidRPr="00330038" w:rsidTr="00021FBD">
        <w:trPr>
          <w:trHeight w:val="198"/>
          <w:jc w:val="center"/>
        </w:trPr>
        <w:tc>
          <w:tcPr>
            <w:tcW w:w="704" w:type="dxa"/>
            <w:vAlign w:val="center"/>
          </w:tcPr>
          <w:p w:rsidR="00695FDB" w:rsidRPr="00330038" w:rsidRDefault="00695FDB" w:rsidP="00405AC5">
            <w:r w:rsidRPr="00330038">
              <w:t>1.</w:t>
            </w:r>
          </w:p>
        </w:tc>
        <w:tc>
          <w:tcPr>
            <w:tcW w:w="3969" w:type="dxa"/>
          </w:tcPr>
          <w:p w:rsidR="00695FDB" w:rsidRPr="00695FDB" w:rsidRDefault="00695FDB" w:rsidP="00BF131A">
            <w:r w:rsidRPr="00695FDB">
              <w:t>SIA NORSA G</w:t>
            </w:r>
          </w:p>
        </w:tc>
        <w:tc>
          <w:tcPr>
            <w:tcW w:w="4340" w:type="dxa"/>
            <w:vAlign w:val="center"/>
          </w:tcPr>
          <w:p w:rsidR="00695FDB" w:rsidRPr="00330038" w:rsidRDefault="00695FDB" w:rsidP="00405AC5">
            <w:r>
              <w:t>Atbilst</w:t>
            </w:r>
          </w:p>
        </w:tc>
      </w:tr>
      <w:tr w:rsidR="00695FDB" w:rsidRPr="00330038" w:rsidTr="00021FBD">
        <w:trPr>
          <w:trHeight w:val="198"/>
          <w:jc w:val="center"/>
        </w:trPr>
        <w:tc>
          <w:tcPr>
            <w:tcW w:w="704" w:type="dxa"/>
            <w:vAlign w:val="center"/>
          </w:tcPr>
          <w:p w:rsidR="00695FDB" w:rsidRPr="00330038" w:rsidRDefault="00695FDB" w:rsidP="00405AC5">
            <w:r w:rsidRPr="00330038">
              <w:t>2.</w:t>
            </w:r>
          </w:p>
        </w:tc>
        <w:tc>
          <w:tcPr>
            <w:tcW w:w="3969" w:type="dxa"/>
          </w:tcPr>
          <w:p w:rsidR="00695FDB" w:rsidRPr="00695FDB" w:rsidRDefault="00695FDB" w:rsidP="00BF131A">
            <w:r w:rsidRPr="00695FDB">
              <w:t>SIA Domenikss</w:t>
            </w:r>
          </w:p>
        </w:tc>
        <w:tc>
          <w:tcPr>
            <w:tcW w:w="4340" w:type="dxa"/>
            <w:vAlign w:val="center"/>
          </w:tcPr>
          <w:p w:rsidR="00695FDB" w:rsidRPr="00330038" w:rsidRDefault="00695FDB" w:rsidP="00405AC5">
            <w:r>
              <w:t>Atbilst</w:t>
            </w:r>
          </w:p>
        </w:tc>
      </w:tr>
      <w:tr w:rsidR="00695FDB" w:rsidRPr="00330038" w:rsidTr="00021FBD">
        <w:trPr>
          <w:trHeight w:val="198"/>
          <w:jc w:val="center"/>
        </w:trPr>
        <w:tc>
          <w:tcPr>
            <w:tcW w:w="704" w:type="dxa"/>
            <w:vAlign w:val="center"/>
          </w:tcPr>
          <w:p w:rsidR="00695FDB" w:rsidRPr="00330038" w:rsidRDefault="00695FDB" w:rsidP="00405AC5">
            <w:r>
              <w:t>3.</w:t>
            </w:r>
          </w:p>
        </w:tc>
        <w:tc>
          <w:tcPr>
            <w:tcW w:w="3969" w:type="dxa"/>
          </w:tcPr>
          <w:p w:rsidR="00695FDB" w:rsidRPr="00695FDB" w:rsidRDefault="00695FDB" w:rsidP="00BF131A">
            <w:r w:rsidRPr="00695FDB">
              <w:t>SIA Daugavas Biznesa Centrs</w:t>
            </w:r>
          </w:p>
        </w:tc>
        <w:tc>
          <w:tcPr>
            <w:tcW w:w="4340" w:type="dxa"/>
            <w:vAlign w:val="center"/>
          </w:tcPr>
          <w:p w:rsidR="00695FDB" w:rsidRDefault="00695FDB" w:rsidP="00405AC5">
            <w:r>
              <w:t>Atbilst</w:t>
            </w:r>
          </w:p>
        </w:tc>
      </w:tr>
    </w:tbl>
    <w:p w:rsidR="00820287" w:rsidRDefault="00820287" w:rsidP="00405AC5">
      <w:pPr>
        <w:ind w:left="360" w:hanging="360"/>
        <w:jc w:val="both"/>
      </w:pPr>
    </w:p>
    <w:p w:rsidR="00636CE1" w:rsidRDefault="00636CE1" w:rsidP="00405AC5">
      <w:pPr>
        <w:ind w:left="360" w:hanging="360"/>
        <w:jc w:val="both"/>
      </w:pPr>
    </w:p>
    <w:p w:rsidR="00405AC5" w:rsidRPr="00636CE1" w:rsidRDefault="00DC5D6B" w:rsidP="00636CE1">
      <w:pPr>
        <w:pStyle w:val="ListParagraph"/>
        <w:numPr>
          <w:ilvl w:val="0"/>
          <w:numId w:val="3"/>
        </w:numPr>
        <w:jc w:val="both"/>
        <w:rPr>
          <w:b/>
        </w:rPr>
      </w:pPr>
      <w:r w:rsidRPr="00636CE1">
        <w:rPr>
          <w:b/>
        </w:rPr>
        <w:t>Tehniskais piedāvājums</w:t>
      </w:r>
    </w:p>
    <w:p w:rsidR="00636CE1" w:rsidRPr="00636CE1" w:rsidRDefault="00636CE1" w:rsidP="00636CE1">
      <w:pPr>
        <w:pStyle w:val="ListParagraph"/>
        <w:jc w:val="both"/>
        <w:rPr>
          <w:b/>
        </w:rPr>
      </w:pPr>
    </w:p>
    <w:p w:rsidR="00405AC5" w:rsidRPr="00E55344" w:rsidRDefault="00405AC5" w:rsidP="00405AC5">
      <w:pPr>
        <w:tabs>
          <w:tab w:val="num" w:pos="720"/>
        </w:tabs>
        <w:jc w:val="both"/>
      </w:pPr>
      <w:r w:rsidRPr="00E55344">
        <w:t>Iepirkumu</w:t>
      </w:r>
      <w:r w:rsidR="00A518F2">
        <w:t xml:space="preserve"> komisija novērtē, vai tehniskais piedāvājums</w:t>
      </w:r>
      <w:r w:rsidRPr="00E55344">
        <w:t xml:space="preserve"> atbilst nolikuma prasībām. </w:t>
      </w:r>
    </w:p>
    <w:tbl>
      <w:tblPr>
        <w:tblW w:w="8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3969"/>
        <w:gridCol w:w="4290"/>
      </w:tblGrid>
      <w:tr w:rsidR="00405AC5" w:rsidRPr="00E55344" w:rsidTr="00021FBD">
        <w:trPr>
          <w:trHeight w:val="568"/>
          <w:jc w:val="center"/>
        </w:trPr>
        <w:tc>
          <w:tcPr>
            <w:tcW w:w="704" w:type="dxa"/>
            <w:vAlign w:val="center"/>
          </w:tcPr>
          <w:p w:rsidR="00405AC5" w:rsidRPr="00E55344" w:rsidRDefault="00405AC5" w:rsidP="00021FBD">
            <w:pPr>
              <w:rPr>
                <w:b/>
              </w:rPr>
            </w:pPr>
            <w:r w:rsidRPr="00E55344">
              <w:rPr>
                <w:b/>
              </w:rPr>
              <w:t>Nr.</w:t>
            </w:r>
            <w:r>
              <w:rPr>
                <w:b/>
              </w:rPr>
              <w:t xml:space="preserve"> </w:t>
            </w:r>
            <w:r w:rsidRPr="00E55344">
              <w:rPr>
                <w:b/>
              </w:rPr>
              <w:t>p.k.</w:t>
            </w:r>
          </w:p>
        </w:tc>
        <w:tc>
          <w:tcPr>
            <w:tcW w:w="3969" w:type="dxa"/>
            <w:vAlign w:val="center"/>
          </w:tcPr>
          <w:p w:rsidR="00405AC5" w:rsidRPr="00E55344" w:rsidRDefault="00405AC5" w:rsidP="00021FBD">
            <w:pPr>
              <w:rPr>
                <w:b/>
              </w:rPr>
            </w:pPr>
            <w:r w:rsidRPr="00E55344">
              <w:rPr>
                <w:b/>
              </w:rPr>
              <w:t>Pretendents</w:t>
            </w:r>
          </w:p>
        </w:tc>
        <w:tc>
          <w:tcPr>
            <w:tcW w:w="4290" w:type="dxa"/>
            <w:vAlign w:val="center"/>
          </w:tcPr>
          <w:p w:rsidR="00405AC5" w:rsidRPr="00E55344" w:rsidRDefault="00405AC5" w:rsidP="00021FBD">
            <w:pPr>
              <w:rPr>
                <w:b/>
              </w:rPr>
            </w:pPr>
            <w:r w:rsidRPr="00E55344">
              <w:t>Tehniskā piedāvājuma atbilstības pārbaude</w:t>
            </w:r>
          </w:p>
        </w:tc>
      </w:tr>
      <w:tr w:rsidR="00695FDB" w:rsidRPr="00330038" w:rsidTr="00021FBD">
        <w:trPr>
          <w:trHeight w:val="198"/>
          <w:jc w:val="center"/>
        </w:trPr>
        <w:tc>
          <w:tcPr>
            <w:tcW w:w="704" w:type="dxa"/>
          </w:tcPr>
          <w:p w:rsidR="00695FDB" w:rsidRPr="00330038" w:rsidRDefault="00695FDB" w:rsidP="00405AC5">
            <w:r w:rsidRPr="00330038">
              <w:t>1.</w:t>
            </w:r>
          </w:p>
        </w:tc>
        <w:tc>
          <w:tcPr>
            <w:tcW w:w="3969" w:type="dxa"/>
          </w:tcPr>
          <w:p w:rsidR="00695FDB" w:rsidRPr="00695FDB" w:rsidRDefault="00695FDB" w:rsidP="00BF131A">
            <w:r w:rsidRPr="00695FDB">
              <w:t>SIA NORSA G</w:t>
            </w:r>
          </w:p>
        </w:tc>
        <w:tc>
          <w:tcPr>
            <w:tcW w:w="4290" w:type="dxa"/>
          </w:tcPr>
          <w:p w:rsidR="00695FDB" w:rsidRPr="00330038" w:rsidRDefault="00695FDB" w:rsidP="00405AC5">
            <w:r>
              <w:t>Atbilst</w:t>
            </w:r>
          </w:p>
        </w:tc>
      </w:tr>
      <w:tr w:rsidR="00695FDB" w:rsidRPr="00330038" w:rsidTr="00021FBD">
        <w:trPr>
          <w:trHeight w:val="198"/>
          <w:jc w:val="center"/>
        </w:trPr>
        <w:tc>
          <w:tcPr>
            <w:tcW w:w="704" w:type="dxa"/>
          </w:tcPr>
          <w:p w:rsidR="00695FDB" w:rsidRPr="00330038" w:rsidRDefault="00695FDB" w:rsidP="00405AC5">
            <w:r>
              <w:t>2.</w:t>
            </w:r>
          </w:p>
        </w:tc>
        <w:tc>
          <w:tcPr>
            <w:tcW w:w="3969" w:type="dxa"/>
          </w:tcPr>
          <w:p w:rsidR="00695FDB" w:rsidRPr="00695FDB" w:rsidRDefault="00695FDB" w:rsidP="00BF131A">
            <w:r w:rsidRPr="00695FDB">
              <w:t>SIA Domenikss</w:t>
            </w:r>
          </w:p>
        </w:tc>
        <w:tc>
          <w:tcPr>
            <w:tcW w:w="4290" w:type="dxa"/>
          </w:tcPr>
          <w:p w:rsidR="00695FDB" w:rsidRDefault="00695FDB" w:rsidP="00405AC5">
            <w:r>
              <w:t xml:space="preserve">Atbilst </w:t>
            </w:r>
          </w:p>
        </w:tc>
      </w:tr>
      <w:tr w:rsidR="00695FDB" w:rsidRPr="00330038" w:rsidTr="00021FBD">
        <w:trPr>
          <w:trHeight w:val="198"/>
          <w:jc w:val="center"/>
        </w:trPr>
        <w:tc>
          <w:tcPr>
            <w:tcW w:w="704" w:type="dxa"/>
          </w:tcPr>
          <w:p w:rsidR="00695FDB" w:rsidRDefault="00695FDB" w:rsidP="00405AC5">
            <w:r>
              <w:t>3.</w:t>
            </w:r>
          </w:p>
        </w:tc>
        <w:tc>
          <w:tcPr>
            <w:tcW w:w="3969" w:type="dxa"/>
          </w:tcPr>
          <w:p w:rsidR="00695FDB" w:rsidRPr="00695FDB" w:rsidRDefault="00695FDB" w:rsidP="00BF131A">
            <w:r w:rsidRPr="00695FDB">
              <w:t>SIA Daugavas Biznesa Centrs</w:t>
            </w:r>
          </w:p>
        </w:tc>
        <w:tc>
          <w:tcPr>
            <w:tcW w:w="4290" w:type="dxa"/>
          </w:tcPr>
          <w:p w:rsidR="00695FDB" w:rsidRDefault="00695FDB" w:rsidP="00405AC5">
            <w:r>
              <w:t>Atbilst</w:t>
            </w:r>
          </w:p>
        </w:tc>
      </w:tr>
    </w:tbl>
    <w:p w:rsidR="00636CE1" w:rsidRDefault="00636CE1" w:rsidP="00636CE1">
      <w:pPr>
        <w:jc w:val="both"/>
      </w:pPr>
    </w:p>
    <w:p w:rsidR="00636CE1" w:rsidRPr="00636CE1" w:rsidRDefault="00636CE1" w:rsidP="00636CE1">
      <w:pPr>
        <w:jc w:val="both"/>
      </w:pPr>
    </w:p>
    <w:p w:rsidR="00405AC5" w:rsidRDefault="00DC5D6B" w:rsidP="00636CE1">
      <w:pPr>
        <w:pStyle w:val="ListParagraph"/>
        <w:numPr>
          <w:ilvl w:val="0"/>
          <w:numId w:val="3"/>
        </w:numPr>
        <w:tabs>
          <w:tab w:val="left" w:pos="284"/>
          <w:tab w:val="left" w:pos="426"/>
        </w:tabs>
        <w:jc w:val="both"/>
        <w:rPr>
          <w:b/>
        </w:rPr>
      </w:pPr>
      <w:r>
        <w:rPr>
          <w:b/>
        </w:rPr>
        <w:t>Finanšu piedāvājums</w:t>
      </w:r>
    </w:p>
    <w:p w:rsidR="00636CE1" w:rsidRPr="00563173" w:rsidRDefault="00636CE1" w:rsidP="00636CE1">
      <w:pPr>
        <w:pStyle w:val="ListParagraph"/>
        <w:tabs>
          <w:tab w:val="left" w:pos="284"/>
          <w:tab w:val="left" w:pos="426"/>
        </w:tabs>
        <w:jc w:val="both"/>
        <w:rPr>
          <w:b/>
        </w:rPr>
      </w:pPr>
    </w:p>
    <w:p w:rsidR="00405AC5" w:rsidRDefault="00405AC5" w:rsidP="00695FDB">
      <w:pPr>
        <w:pStyle w:val="ListParagraph"/>
        <w:numPr>
          <w:ilvl w:val="1"/>
          <w:numId w:val="3"/>
        </w:numPr>
        <w:jc w:val="both"/>
      </w:pPr>
      <w:r>
        <w:t xml:space="preserve">Iepirkumu komisija </w:t>
      </w:r>
      <w:r w:rsidRPr="00742A51">
        <w:t xml:space="preserve">pārbauda, </w:t>
      </w:r>
      <w:r w:rsidRPr="00A1084F">
        <w:t xml:space="preserve">vai </w:t>
      </w:r>
      <w:r>
        <w:t xml:space="preserve">finanšu </w:t>
      </w:r>
      <w:r w:rsidRPr="00A1084F">
        <w:t>piedāvājum</w:t>
      </w:r>
      <w:r w:rsidR="00A518F2">
        <w:t>ā</w:t>
      </w:r>
      <w:r w:rsidRPr="00A1084F">
        <w:t xml:space="preserve"> nav aritmētisko kļūdu</w:t>
      </w:r>
      <w:r>
        <w:t xml:space="preserve">. </w:t>
      </w:r>
    </w:p>
    <w:p w:rsidR="00405AC5" w:rsidRDefault="00405AC5" w:rsidP="005E1B1C">
      <w:pPr>
        <w:ind w:left="284"/>
        <w:jc w:val="both"/>
      </w:pPr>
      <w:r>
        <w:t xml:space="preserve">3.2. </w:t>
      </w:r>
      <w:r w:rsidRPr="005E7248">
        <w:t>Iepirkumu komisija ir</w:t>
      </w:r>
      <w:r>
        <w:t xml:space="preserve"> </w:t>
      </w:r>
      <w:r w:rsidRPr="00E5203B">
        <w:t>izvērtē</w:t>
      </w:r>
      <w:r>
        <w:t>jusi</w:t>
      </w:r>
      <w:r w:rsidRPr="00E5203B">
        <w:t>, vai nav iesniegt</w:t>
      </w:r>
      <w:r w:rsidR="00A518F2">
        <w:t>s</w:t>
      </w:r>
      <w:r w:rsidRPr="00E5203B">
        <w:t xml:space="preserve"> nepamatoti lēt</w:t>
      </w:r>
      <w:r w:rsidR="00A518F2">
        <w:t>s</w:t>
      </w:r>
      <w:r w:rsidRPr="00E5203B">
        <w:t xml:space="preserve"> piedāvājum</w:t>
      </w:r>
      <w:r w:rsidR="00A518F2">
        <w:t>s</w:t>
      </w:r>
      <w:r w:rsidRPr="00E5203B">
        <w:t>.</w:t>
      </w:r>
    </w:p>
    <w:p w:rsidR="0098309D" w:rsidRDefault="00405AC5" w:rsidP="005E1B1C">
      <w:pPr>
        <w:ind w:left="284"/>
        <w:jc w:val="both"/>
      </w:pPr>
      <w:r>
        <w:lastRenderedPageBreak/>
        <w:t xml:space="preserve">3.3. Iepirkumu komisija, ņemot vērā Iepirkuma procedūras nolikumā noteiktos vērtēšanas kritērijus, izvēlas </w:t>
      </w:r>
      <w:r w:rsidR="0098309D">
        <w:t>saimnieciski izdevīgāko piedāvājumu</w:t>
      </w:r>
      <w:r>
        <w:t xml:space="preserve"> EUR be</w:t>
      </w:r>
      <w:r w:rsidR="00A518F2">
        <w:t>z PVN, kas atbilst Iepirkuma nolikuma</w:t>
      </w:r>
      <w:r w:rsidR="004036FE">
        <w:t xml:space="preserve"> </w:t>
      </w:r>
      <w:r w:rsidR="004036FE" w:rsidRPr="00782C99">
        <w:t>10.1.</w:t>
      </w:r>
      <w:r w:rsidR="000D6561">
        <w:t>3</w:t>
      </w:r>
      <w:r w:rsidR="004036FE" w:rsidRPr="00782C99">
        <w:t>.</w:t>
      </w:r>
      <w:r w:rsidR="004036FE">
        <w:t>punkta</w:t>
      </w:r>
      <w:r w:rsidR="0098309D">
        <w:t xml:space="preserve"> prasībām:</w:t>
      </w:r>
    </w:p>
    <w:p w:rsidR="00636CE1" w:rsidRDefault="00636CE1" w:rsidP="00405AC5">
      <w:pPr>
        <w:jc w:val="both"/>
      </w:pPr>
    </w:p>
    <w:tbl>
      <w:tblPr>
        <w:tblpPr w:leftFromText="180" w:rightFromText="180" w:vertAnchor="text" w:horzAnchor="margin" w:tblpX="-176" w:tblpY="133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1927"/>
        <w:gridCol w:w="1363"/>
        <w:gridCol w:w="2099"/>
        <w:gridCol w:w="2099"/>
        <w:gridCol w:w="2094"/>
      </w:tblGrid>
      <w:tr w:rsidR="00695FDB" w:rsidRPr="00782C99" w:rsidTr="00555CB9">
        <w:tc>
          <w:tcPr>
            <w:tcW w:w="1016" w:type="dxa"/>
          </w:tcPr>
          <w:p w:rsidR="00695FDB" w:rsidRPr="00782C99" w:rsidRDefault="00695FDB" w:rsidP="00555CB9">
            <w:pPr>
              <w:autoSpaceDE w:val="0"/>
              <w:autoSpaceDN w:val="0"/>
              <w:adjustRightInd w:val="0"/>
            </w:pPr>
            <w:r>
              <w:t>Kritērijs</w:t>
            </w:r>
          </w:p>
        </w:tc>
        <w:tc>
          <w:tcPr>
            <w:tcW w:w="1927" w:type="dxa"/>
          </w:tcPr>
          <w:p w:rsidR="00695FDB" w:rsidRPr="00782C99" w:rsidRDefault="00695FDB" w:rsidP="00555CB9">
            <w:pPr>
              <w:autoSpaceDE w:val="0"/>
              <w:autoSpaceDN w:val="0"/>
              <w:adjustRightInd w:val="0"/>
            </w:pPr>
            <w:r w:rsidRPr="00782C99">
              <w:t>V</w:t>
            </w:r>
            <w:r w:rsidRPr="00782C99">
              <w:rPr>
                <w:rFonts w:eastAsia="TimesNewRoman"/>
              </w:rPr>
              <w:t>ē</w:t>
            </w:r>
            <w:r w:rsidRPr="00782C99">
              <w:t>rt</w:t>
            </w:r>
            <w:r w:rsidRPr="00782C99">
              <w:rPr>
                <w:rFonts w:eastAsia="TimesNewRoman"/>
              </w:rPr>
              <w:t>ē</w:t>
            </w:r>
            <w:r w:rsidRPr="00782C99">
              <w:t>šanas krit</w:t>
            </w:r>
            <w:r w:rsidRPr="00782C99">
              <w:rPr>
                <w:rFonts w:eastAsia="TimesNewRoman"/>
              </w:rPr>
              <w:t>ē</w:t>
            </w:r>
            <w:r w:rsidRPr="00782C99">
              <w:t>riji</w:t>
            </w:r>
          </w:p>
        </w:tc>
        <w:tc>
          <w:tcPr>
            <w:tcW w:w="1363" w:type="dxa"/>
          </w:tcPr>
          <w:p w:rsidR="00695FDB" w:rsidRPr="00782C99" w:rsidRDefault="00695FDB" w:rsidP="00555CB9">
            <w:pPr>
              <w:autoSpaceDE w:val="0"/>
              <w:autoSpaceDN w:val="0"/>
              <w:adjustRightInd w:val="0"/>
              <w:rPr>
                <w:rFonts w:eastAsia="TimesNewRoman,Bold"/>
                <w:b/>
                <w:bCs/>
              </w:rPr>
            </w:pPr>
            <w:r w:rsidRPr="00782C99">
              <w:rPr>
                <w:b/>
                <w:bCs/>
              </w:rPr>
              <w:t>Maksim</w:t>
            </w:r>
            <w:r w:rsidRPr="00782C99">
              <w:rPr>
                <w:rFonts w:eastAsia="TimesNewRoman,Bold"/>
                <w:b/>
                <w:bCs/>
              </w:rPr>
              <w:t>ā</w:t>
            </w:r>
            <w:r w:rsidRPr="00782C99">
              <w:rPr>
                <w:b/>
                <w:bCs/>
              </w:rPr>
              <w:t>l</w:t>
            </w:r>
            <w:r w:rsidRPr="00782C99">
              <w:rPr>
                <w:rFonts w:eastAsia="TimesNewRoman,Bold"/>
                <w:b/>
                <w:bCs/>
              </w:rPr>
              <w:t>ā</w:t>
            </w:r>
          </w:p>
          <w:p w:rsidR="00695FDB" w:rsidRPr="00782C99" w:rsidRDefault="00695FDB" w:rsidP="00555CB9">
            <w:pPr>
              <w:autoSpaceDE w:val="0"/>
              <w:autoSpaceDN w:val="0"/>
              <w:adjustRightInd w:val="0"/>
              <w:rPr>
                <w:rFonts w:eastAsia="TimesNewRoman,Bold"/>
                <w:b/>
                <w:bCs/>
              </w:rPr>
            </w:pPr>
            <w:r w:rsidRPr="00782C99">
              <w:rPr>
                <w:b/>
                <w:bCs/>
              </w:rPr>
              <w:t>skaitlisk</w:t>
            </w:r>
            <w:r w:rsidRPr="00782C99">
              <w:rPr>
                <w:rFonts w:eastAsia="TimesNewRoman,Bold"/>
                <w:b/>
                <w:bCs/>
              </w:rPr>
              <w:t>ā</w:t>
            </w:r>
          </w:p>
          <w:p w:rsidR="00695FDB" w:rsidRPr="00782C99" w:rsidRDefault="00695FDB" w:rsidP="00555CB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82C99">
              <w:rPr>
                <w:b/>
                <w:bCs/>
              </w:rPr>
              <w:t>v</w:t>
            </w:r>
            <w:r w:rsidRPr="00782C99">
              <w:rPr>
                <w:rFonts w:eastAsia="TimesNewRoman,Bold"/>
                <w:b/>
                <w:bCs/>
              </w:rPr>
              <w:t>ē</w:t>
            </w:r>
            <w:r w:rsidRPr="00782C99">
              <w:rPr>
                <w:b/>
                <w:bCs/>
              </w:rPr>
              <w:t>rt</w:t>
            </w:r>
            <w:r w:rsidRPr="00782C99">
              <w:rPr>
                <w:rFonts w:eastAsia="TimesNewRoman,Bold"/>
                <w:b/>
                <w:bCs/>
              </w:rPr>
              <w:t>ī</w:t>
            </w:r>
            <w:r w:rsidRPr="00782C99">
              <w:rPr>
                <w:b/>
                <w:bCs/>
              </w:rPr>
              <w:t>ba</w:t>
            </w:r>
          </w:p>
        </w:tc>
        <w:tc>
          <w:tcPr>
            <w:tcW w:w="2099" w:type="dxa"/>
          </w:tcPr>
          <w:p w:rsidR="00695FDB" w:rsidRPr="00695FDB" w:rsidRDefault="00695FDB" w:rsidP="00555CB9">
            <w:r w:rsidRPr="00695FDB">
              <w:t>SIA NORSA G</w:t>
            </w:r>
          </w:p>
        </w:tc>
        <w:tc>
          <w:tcPr>
            <w:tcW w:w="2099" w:type="dxa"/>
          </w:tcPr>
          <w:p w:rsidR="00695FDB" w:rsidRPr="00BA6F9A" w:rsidRDefault="00695FDB" w:rsidP="00555CB9">
            <w:pPr>
              <w:rPr>
                <w:sz w:val="20"/>
                <w:szCs w:val="20"/>
              </w:rPr>
            </w:pPr>
            <w:r w:rsidRPr="00695FDB">
              <w:t>SIA Domenikss</w:t>
            </w:r>
          </w:p>
        </w:tc>
        <w:tc>
          <w:tcPr>
            <w:tcW w:w="2094" w:type="dxa"/>
          </w:tcPr>
          <w:p w:rsidR="00695FDB" w:rsidRPr="00BA6F9A" w:rsidRDefault="00695FDB" w:rsidP="00555CB9">
            <w:pPr>
              <w:rPr>
                <w:sz w:val="20"/>
                <w:szCs w:val="20"/>
              </w:rPr>
            </w:pPr>
            <w:r w:rsidRPr="00695FDB">
              <w:t>SIA Daugavas Biznesa Centrs</w:t>
            </w:r>
          </w:p>
        </w:tc>
      </w:tr>
      <w:tr w:rsidR="00D1385C" w:rsidRPr="00782C99" w:rsidTr="00555CB9">
        <w:trPr>
          <w:trHeight w:val="634"/>
        </w:trPr>
        <w:tc>
          <w:tcPr>
            <w:tcW w:w="1016" w:type="dxa"/>
            <w:vMerge w:val="restart"/>
          </w:tcPr>
          <w:p w:rsidR="00D1385C" w:rsidRPr="00782C99" w:rsidRDefault="00695FDB" w:rsidP="00555CB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  <w:p w:rsidR="00D1385C" w:rsidRPr="00782C99" w:rsidRDefault="00D1385C" w:rsidP="00555CB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927" w:type="dxa"/>
            <w:vMerge w:val="restart"/>
          </w:tcPr>
          <w:p w:rsidR="00D1385C" w:rsidRPr="00695FDB" w:rsidRDefault="00695FDB" w:rsidP="00555CB9">
            <w:pPr>
              <w:autoSpaceDE w:val="0"/>
              <w:autoSpaceDN w:val="0"/>
              <w:adjustRightInd w:val="0"/>
            </w:pPr>
            <w:r w:rsidRPr="00695FDB">
              <w:t>Finanšu pied</w:t>
            </w:r>
            <w:r w:rsidRPr="00695FDB">
              <w:rPr>
                <w:rFonts w:ascii="TTD2t00" w:hAnsi="TTD2t00" w:cs="TTD2t00"/>
              </w:rPr>
              <w:t>ā</w:t>
            </w:r>
            <w:r w:rsidRPr="00695FDB">
              <w:t>v</w:t>
            </w:r>
            <w:r w:rsidRPr="00695FDB">
              <w:rPr>
                <w:rFonts w:ascii="TTD2t00" w:hAnsi="TTD2t00" w:cs="TTD2t00"/>
              </w:rPr>
              <w:t>ā</w:t>
            </w:r>
            <w:r w:rsidRPr="00695FDB">
              <w:t>juma kop</w:t>
            </w:r>
            <w:r w:rsidRPr="00695FDB">
              <w:rPr>
                <w:rFonts w:ascii="TTD2t00" w:hAnsi="TTD2t00" w:cs="TTD2t00"/>
              </w:rPr>
              <w:t>ē</w:t>
            </w:r>
            <w:r w:rsidRPr="00695FDB">
              <w:t>jais v</w:t>
            </w:r>
            <w:r w:rsidRPr="00695FDB">
              <w:rPr>
                <w:rFonts w:ascii="TTD2t00" w:hAnsi="TTD2t00" w:cs="TTD2t00"/>
              </w:rPr>
              <w:t>ē</w:t>
            </w:r>
            <w:r w:rsidRPr="00695FDB">
              <w:t>rt</w:t>
            </w:r>
            <w:r w:rsidRPr="00695FDB">
              <w:rPr>
                <w:rFonts w:ascii="TTD2t00" w:hAnsi="TTD2t00" w:cs="TTD2t00"/>
              </w:rPr>
              <w:t>ē</w:t>
            </w:r>
            <w:r w:rsidRPr="00695FDB">
              <w:t>jums EUR bez PVN</w:t>
            </w:r>
          </w:p>
        </w:tc>
        <w:tc>
          <w:tcPr>
            <w:tcW w:w="1363" w:type="dxa"/>
            <w:vMerge w:val="restart"/>
            <w:vAlign w:val="center"/>
          </w:tcPr>
          <w:p w:rsidR="00D1385C" w:rsidRPr="00627ECB" w:rsidRDefault="00695FDB" w:rsidP="00555CB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27ECB">
              <w:rPr>
                <w:b/>
              </w:rPr>
              <w:t>70</w:t>
            </w:r>
          </w:p>
        </w:tc>
        <w:tc>
          <w:tcPr>
            <w:tcW w:w="2099" w:type="dxa"/>
          </w:tcPr>
          <w:p w:rsidR="00D1385C" w:rsidRPr="00695FDB" w:rsidRDefault="00695FDB" w:rsidP="00555CB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95FDB">
              <w:t>168,32</w:t>
            </w:r>
            <w:r w:rsidR="005E1B1C">
              <w:t xml:space="preserve"> EUR</w:t>
            </w:r>
          </w:p>
        </w:tc>
        <w:tc>
          <w:tcPr>
            <w:tcW w:w="2099" w:type="dxa"/>
          </w:tcPr>
          <w:p w:rsidR="00D1385C" w:rsidRPr="00695FDB" w:rsidRDefault="00695FDB" w:rsidP="00555CB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95FDB">
              <w:t>245,41</w:t>
            </w:r>
            <w:r w:rsidR="005E1B1C">
              <w:t xml:space="preserve"> EUR</w:t>
            </w:r>
          </w:p>
        </w:tc>
        <w:tc>
          <w:tcPr>
            <w:tcW w:w="2094" w:type="dxa"/>
          </w:tcPr>
          <w:p w:rsidR="00D1385C" w:rsidRPr="00695FDB" w:rsidRDefault="00695FDB" w:rsidP="00555CB9">
            <w:pPr>
              <w:autoSpaceDE w:val="0"/>
              <w:autoSpaceDN w:val="0"/>
              <w:adjustRightInd w:val="0"/>
              <w:rPr>
                <w:b/>
              </w:rPr>
            </w:pPr>
            <w:r w:rsidRPr="00695FDB">
              <w:t>143,32</w:t>
            </w:r>
            <w:r w:rsidR="005E1B1C">
              <w:t xml:space="preserve"> EUR</w:t>
            </w:r>
          </w:p>
        </w:tc>
      </w:tr>
      <w:tr w:rsidR="00D1385C" w:rsidRPr="00782C99" w:rsidTr="00555CB9">
        <w:trPr>
          <w:trHeight w:val="633"/>
        </w:trPr>
        <w:tc>
          <w:tcPr>
            <w:tcW w:w="1016" w:type="dxa"/>
            <w:vMerge/>
          </w:tcPr>
          <w:p w:rsidR="00D1385C" w:rsidRPr="00782C99" w:rsidRDefault="00D1385C" w:rsidP="00555CB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927" w:type="dxa"/>
            <w:vMerge/>
          </w:tcPr>
          <w:p w:rsidR="00D1385C" w:rsidRPr="00782C99" w:rsidRDefault="00D1385C" w:rsidP="00555CB9">
            <w:pPr>
              <w:autoSpaceDE w:val="0"/>
              <w:autoSpaceDN w:val="0"/>
              <w:adjustRightInd w:val="0"/>
            </w:pPr>
          </w:p>
        </w:tc>
        <w:tc>
          <w:tcPr>
            <w:tcW w:w="1363" w:type="dxa"/>
            <w:vMerge/>
            <w:vAlign w:val="center"/>
          </w:tcPr>
          <w:p w:rsidR="00D1385C" w:rsidRPr="00627ECB" w:rsidRDefault="00D1385C" w:rsidP="00555CB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099" w:type="dxa"/>
          </w:tcPr>
          <w:p w:rsidR="00627ECB" w:rsidRDefault="00695FDB" w:rsidP="00555CB9">
            <w:pPr>
              <w:autoSpaceDE w:val="0"/>
              <w:autoSpaceDN w:val="0"/>
              <w:adjustRightInd w:val="0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143,32</w:t>
            </w:r>
            <w:r w:rsidRPr="005F7643">
              <w:rPr>
                <w:color w:val="000000"/>
                <w:lang w:eastAsia="lv-LV"/>
              </w:rPr>
              <w:t>/1</w:t>
            </w:r>
            <w:r>
              <w:rPr>
                <w:color w:val="000000"/>
                <w:lang w:eastAsia="lv-LV"/>
              </w:rPr>
              <w:t>68</w:t>
            </w:r>
            <w:r w:rsidRPr="005F7643">
              <w:rPr>
                <w:color w:val="000000"/>
                <w:lang w:eastAsia="lv-LV"/>
              </w:rPr>
              <w:t>,</w:t>
            </w:r>
            <w:r>
              <w:rPr>
                <w:color w:val="000000"/>
                <w:lang w:eastAsia="lv-LV"/>
              </w:rPr>
              <w:t>32</w:t>
            </w:r>
            <w:r w:rsidRPr="005F7643">
              <w:rPr>
                <w:color w:val="000000"/>
                <w:lang w:eastAsia="lv-LV"/>
              </w:rPr>
              <w:t>*</w:t>
            </w:r>
            <w:r>
              <w:rPr>
                <w:color w:val="000000"/>
                <w:lang w:eastAsia="lv-LV"/>
              </w:rPr>
              <w:t>7</w:t>
            </w:r>
            <w:r w:rsidRPr="005F7643">
              <w:rPr>
                <w:color w:val="000000"/>
                <w:lang w:eastAsia="lv-LV"/>
              </w:rPr>
              <w:t>0</w:t>
            </w:r>
          </w:p>
          <w:p w:rsidR="00D1385C" w:rsidRPr="00695FDB" w:rsidRDefault="00695FDB" w:rsidP="00555CB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F7643">
              <w:rPr>
                <w:color w:val="000000"/>
                <w:lang w:eastAsia="lv-LV"/>
              </w:rPr>
              <w:t>=</w:t>
            </w:r>
            <w:r w:rsidRPr="00627ECB">
              <w:rPr>
                <w:b/>
                <w:color w:val="000000"/>
                <w:lang w:eastAsia="lv-LV"/>
              </w:rPr>
              <w:t>59,60</w:t>
            </w:r>
          </w:p>
        </w:tc>
        <w:tc>
          <w:tcPr>
            <w:tcW w:w="2099" w:type="dxa"/>
          </w:tcPr>
          <w:p w:rsidR="00627ECB" w:rsidRDefault="00695FDB" w:rsidP="00555CB9">
            <w:pPr>
              <w:autoSpaceDE w:val="0"/>
              <w:autoSpaceDN w:val="0"/>
              <w:adjustRightInd w:val="0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143.32</w:t>
            </w:r>
            <w:r w:rsidRPr="005F7643">
              <w:rPr>
                <w:color w:val="000000"/>
                <w:lang w:eastAsia="lv-LV"/>
              </w:rPr>
              <w:t>/</w:t>
            </w:r>
            <w:r>
              <w:rPr>
                <w:color w:val="000000"/>
                <w:lang w:eastAsia="lv-LV"/>
              </w:rPr>
              <w:t>24</w:t>
            </w:r>
            <w:r w:rsidRPr="005F7643">
              <w:rPr>
                <w:color w:val="000000"/>
                <w:lang w:eastAsia="lv-LV"/>
              </w:rPr>
              <w:t>5</w:t>
            </w:r>
            <w:r>
              <w:rPr>
                <w:color w:val="000000"/>
                <w:lang w:eastAsia="lv-LV"/>
              </w:rPr>
              <w:t>.41</w:t>
            </w:r>
            <w:r w:rsidRPr="005F7643">
              <w:rPr>
                <w:color w:val="000000"/>
                <w:lang w:eastAsia="lv-LV"/>
              </w:rPr>
              <w:t>*</w:t>
            </w:r>
            <w:r>
              <w:rPr>
                <w:color w:val="000000"/>
                <w:lang w:eastAsia="lv-LV"/>
              </w:rPr>
              <w:t>7</w:t>
            </w:r>
            <w:r w:rsidRPr="005F7643">
              <w:rPr>
                <w:color w:val="000000"/>
                <w:lang w:eastAsia="lv-LV"/>
              </w:rPr>
              <w:t>0</w:t>
            </w:r>
          </w:p>
          <w:p w:rsidR="00D1385C" w:rsidRPr="00695FDB" w:rsidRDefault="00695FDB" w:rsidP="00555CB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F7643">
              <w:rPr>
                <w:color w:val="000000"/>
                <w:lang w:eastAsia="lv-LV"/>
              </w:rPr>
              <w:t>=</w:t>
            </w:r>
            <w:r w:rsidRPr="00627ECB">
              <w:rPr>
                <w:b/>
                <w:color w:val="000000"/>
                <w:lang w:eastAsia="lv-LV"/>
              </w:rPr>
              <w:t>40</w:t>
            </w:r>
            <w:r w:rsidR="00627ECB">
              <w:rPr>
                <w:b/>
                <w:color w:val="000000"/>
                <w:lang w:eastAsia="lv-LV"/>
              </w:rPr>
              <w:t>,</w:t>
            </w:r>
            <w:r w:rsidRPr="00627ECB">
              <w:rPr>
                <w:b/>
                <w:color w:val="000000"/>
                <w:lang w:eastAsia="lv-LV"/>
              </w:rPr>
              <w:t>88</w:t>
            </w:r>
          </w:p>
        </w:tc>
        <w:tc>
          <w:tcPr>
            <w:tcW w:w="2094" w:type="dxa"/>
          </w:tcPr>
          <w:p w:rsidR="00627ECB" w:rsidRDefault="00627ECB" w:rsidP="00555CB9">
            <w:pPr>
              <w:autoSpaceDE w:val="0"/>
              <w:autoSpaceDN w:val="0"/>
              <w:adjustRightInd w:val="0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143,32</w:t>
            </w:r>
            <w:r w:rsidRPr="005F7643">
              <w:rPr>
                <w:color w:val="000000"/>
                <w:lang w:eastAsia="lv-LV"/>
              </w:rPr>
              <w:t>/1</w:t>
            </w:r>
            <w:r>
              <w:rPr>
                <w:color w:val="000000"/>
                <w:lang w:eastAsia="lv-LV"/>
              </w:rPr>
              <w:t>43,32</w:t>
            </w:r>
            <w:r w:rsidRPr="005F7643">
              <w:rPr>
                <w:color w:val="000000"/>
                <w:lang w:eastAsia="lv-LV"/>
              </w:rPr>
              <w:t>*</w:t>
            </w:r>
            <w:r>
              <w:rPr>
                <w:color w:val="000000"/>
                <w:lang w:eastAsia="lv-LV"/>
              </w:rPr>
              <w:t>7</w:t>
            </w:r>
            <w:r w:rsidRPr="005F7643">
              <w:rPr>
                <w:color w:val="000000"/>
                <w:lang w:eastAsia="lv-LV"/>
              </w:rPr>
              <w:t>0</w:t>
            </w:r>
          </w:p>
          <w:p w:rsidR="00D1385C" w:rsidRPr="00695FDB" w:rsidRDefault="00627ECB" w:rsidP="00555CB9">
            <w:pPr>
              <w:autoSpaceDE w:val="0"/>
              <w:autoSpaceDN w:val="0"/>
              <w:adjustRightInd w:val="0"/>
            </w:pPr>
            <w:r w:rsidRPr="005F7643">
              <w:rPr>
                <w:color w:val="000000"/>
                <w:lang w:eastAsia="lv-LV"/>
              </w:rPr>
              <w:t>=</w:t>
            </w:r>
            <w:r w:rsidRPr="00627ECB">
              <w:rPr>
                <w:b/>
                <w:color w:val="000000"/>
                <w:lang w:eastAsia="lv-LV"/>
              </w:rPr>
              <w:t>70</w:t>
            </w:r>
          </w:p>
        </w:tc>
      </w:tr>
      <w:tr w:rsidR="00695FDB" w:rsidRPr="00782C99" w:rsidTr="00555CB9">
        <w:trPr>
          <w:trHeight w:val="530"/>
        </w:trPr>
        <w:tc>
          <w:tcPr>
            <w:tcW w:w="1016" w:type="dxa"/>
            <w:vMerge w:val="restart"/>
          </w:tcPr>
          <w:p w:rsidR="00695FDB" w:rsidRPr="00782C99" w:rsidRDefault="00695FDB" w:rsidP="00555CB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  <w:tc>
          <w:tcPr>
            <w:tcW w:w="1927" w:type="dxa"/>
            <w:vMerge w:val="restart"/>
          </w:tcPr>
          <w:p w:rsidR="00695FDB" w:rsidRPr="00782C99" w:rsidRDefault="00695FDB" w:rsidP="00555CB9">
            <w:pPr>
              <w:autoSpaceDE w:val="0"/>
              <w:autoSpaceDN w:val="0"/>
              <w:adjustRightInd w:val="0"/>
            </w:pPr>
            <w:r w:rsidRPr="00782C99">
              <w:t>Auto servisa atrašan</w:t>
            </w:r>
            <w:r w:rsidRPr="00782C99">
              <w:rPr>
                <w:rFonts w:eastAsia="TimesNewRoman"/>
              </w:rPr>
              <w:t>ā</w:t>
            </w:r>
            <w:r w:rsidRPr="00782C99">
              <w:t>s vieta</w:t>
            </w:r>
            <w:r>
              <w:t xml:space="preserve"> norādītajā maršrutā*</w:t>
            </w:r>
            <w:r w:rsidRPr="00782C99">
              <w:t>, km</w:t>
            </w:r>
          </w:p>
        </w:tc>
        <w:tc>
          <w:tcPr>
            <w:tcW w:w="1363" w:type="dxa"/>
            <w:vMerge w:val="restart"/>
            <w:vAlign w:val="center"/>
          </w:tcPr>
          <w:p w:rsidR="00695FDB" w:rsidRPr="00627ECB" w:rsidRDefault="00695FDB" w:rsidP="00555CB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27ECB">
              <w:rPr>
                <w:b/>
              </w:rPr>
              <w:t>30</w:t>
            </w:r>
          </w:p>
        </w:tc>
        <w:tc>
          <w:tcPr>
            <w:tcW w:w="2099" w:type="dxa"/>
          </w:tcPr>
          <w:p w:rsidR="00695FDB" w:rsidRPr="00695FDB" w:rsidRDefault="005E1B1C" w:rsidP="00555CB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30 km</w:t>
            </w:r>
          </w:p>
        </w:tc>
        <w:tc>
          <w:tcPr>
            <w:tcW w:w="2099" w:type="dxa"/>
          </w:tcPr>
          <w:p w:rsidR="00695FDB" w:rsidRPr="00695FDB" w:rsidRDefault="005E1B1C" w:rsidP="00555CB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33.4</w:t>
            </w:r>
            <w:proofErr w:type="gramStart"/>
            <w:r>
              <w:t xml:space="preserve">  </w:t>
            </w:r>
            <w:proofErr w:type="gramEnd"/>
            <w:r>
              <w:t>km</w:t>
            </w:r>
          </w:p>
        </w:tc>
        <w:tc>
          <w:tcPr>
            <w:tcW w:w="2094" w:type="dxa"/>
          </w:tcPr>
          <w:p w:rsidR="00695FDB" w:rsidRPr="00695FDB" w:rsidRDefault="005E1B1C" w:rsidP="00555CB9">
            <w:pPr>
              <w:autoSpaceDE w:val="0"/>
              <w:autoSpaceDN w:val="0"/>
              <w:adjustRightInd w:val="0"/>
              <w:rPr>
                <w:b/>
              </w:rPr>
            </w:pPr>
            <w:r>
              <w:t>36 km</w:t>
            </w:r>
          </w:p>
        </w:tc>
      </w:tr>
      <w:tr w:rsidR="00695FDB" w:rsidRPr="00782C99" w:rsidTr="00555CB9">
        <w:trPr>
          <w:trHeight w:val="530"/>
        </w:trPr>
        <w:tc>
          <w:tcPr>
            <w:tcW w:w="1016" w:type="dxa"/>
            <w:vMerge/>
          </w:tcPr>
          <w:p w:rsidR="00695FDB" w:rsidRPr="00782C99" w:rsidRDefault="00695FDB" w:rsidP="00555CB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927" w:type="dxa"/>
            <w:vMerge/>
          </w:tcPr>
          <w:p w:rsidR="00695FDB" w:rsidRPr="00782C99" w:rsidRDefault="00695FDB" w:rsidP="00555CB9">
            <w:pPr>
              <w:autoSpaceDE w:val="0"/>
              <w:autoSpaceDN w:val="0"/>
              <w:adjustRightInd w:val="0"/>
            </w:pPr>
          </w:p>
        </w:tc>
        <w:tc>
          <w:tcPr>
            <w:tcW w:w="1363" w:type="dxa"/>
            <w:vMerge/>
          </w:tcPr>
          <w:p w:rsidR="00695FDB" w:rsidRPr="00782C99" w:rsidRDefault="00695FDB" w:rsidP="00555CB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099" w:type="dxa"/>
          </w:tcPr>
          <w:p w:rsidR="00627ECB" w:rsidRDefault="005E1B1C" w:rsidP="00555CB9">
            <w:pPr>
              <w:autoSpaceDE w:val="0"/>
              <w:autoSpaceDN w:val="0"/>
              <w:adjustRightInd w:val="0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30/30</w:t>
            </w:r>
            <w:r w:rsidR="00695FDB" w:rsidRPr="005F7643">
              <w:rPr>
                <w:color w:val="000000"/>
                <w:lang w:eastAsia="lv-LV"/>
              </w:rPr>
              <w:t>*</w:t>
            </w:r>
            <w:r w:rsidR="00695FDB">
              <w:rPr>
                <w:color w:val="000000"/>
                <w:lang w:eastAsia="lv-LV"/>
              </w:rPr>
              <w:t>3</w:t>
            </w:r>
            <w:r w:rsidR="00695FDB" w:rsidRPr="005F7643">
              <w:rPr>
                <w:color w:val="000000"/>
                <w:lang w:eastAsia="lv-LV"/>
              </w:rPr>
              <w:t>0</w:t>
            </w:r>
          </w:p>
          <w:p w:rsidR="00695FDB" w:rsidRPr="00782C99" w:rsidRDefault="00695FDB" w:rsidP="00555CB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F7643">
              <w:rPr>
                <w:color w:val="000000"/>
                <w:lang w:eastAsia="lv-LV"/>
              </w:rPr>
              <w:t>=</w:t>
            </w:r>
            <w:r w:rsidRPr="00627ECB">
              <w:rPr>
                <w:b/>
                <w:color w:val="000000"/>
                <w:lang w:eastAsia="lv-LV"/>
              </w:rPr>
              <w:t>30</w:t>
            </w:r>
          </w:p>
        </w:tc>
        <w:tc>
          <w:tcPr>
            <w:tcW w:w="2099" w:type="dxa"/>
          </w:tcPr>
          <w:p w:rsidR="00627ECB" w:rsidRDefault="005E1B1C" w:rsidP="00555CB9">
            <w:pPr>
              <w:autoSpaceDE w:val="0"/>
              <w:autoSpaceDN w:val="0"/>
              <w:adjustRightInd w:val="0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30</w:t>
            </w:r>
            <w:r w:rsidR="00695FDB" w:rsidRPr="005F7643">
              <w:rPr>
                <w:color w:val="000000"/>
                <w:lang w:eastAsia="lv-LV"/>
              </w:rPr>
              <w:t>/</w:t>
            </w:r>
            <w:r>
              <w:rPr>
                <w:color w:val="000000"/>
                <w:lang w:eastAsia="lv-LV"/>
              </w:rPr>
              <w:t>33</w:t>
            </w:r>
            <w:r w:rsidR="00695FDB">
              <w:rPr>
                <w:color w:val="000000"/>
                <w:lang w:eastAsia="lv-LV"/>
              </w:rPr>
              <w:t>.4</w:t>
            </w:r>
            <w:r w:rsidR="00695FDB" w:rsidRPr="005F7643">
              <w:rPr>
                <w:color w:val="000000"/>
                <w:lang w:eastAsia="lv-LV"/>
              </w:rPr>
              <w:t>*</w:t>
            </w:r>
            <w:r w:rsidR="00695FDB">
              <w:rPr>
                <w:color w:val="000000"/>
                <w:lang w:eastAsia="lv-LV"/>
              </w:rPr>
              <w:t>3</w:t>
            </w:r>
            <w:r w:rsidR="00695FDB" w:rsidRPr="005F7643">
              <w:rPr>
                <w:color w:val="000000"/>
                <w:lang w:eastAsia="lv-LV"/>
              </w:rPr>
              <w:t>0</w:t>
            </w:r>
          </w:p>
          <w:p w:rsidR="00695FDB" w:rsidRPr="00782C99" w:rsidRDefault="00695FDB" w:rsidP="005E1B1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F7643">
              <w:rPr>
                <w:color w:val="000000"/>
                <w:lang w:eastAsia="lv-LV"/>
              </w:rPr>
              <w:t>=</w:t>
            </w:r>
            <w:r w:rsidR="005E1B1C">
              <w:rPr>
                <w:b/>
                <w:color w:val="000000"/>
                <w:lang w:eastAsia="lv-LV"/>
              </w:rPr>
              <w:t>26.94</w:t>
            </w:r>
          </w:p>
        </w:tc>
        <w:tc>
          <w:tcPr>
            <w:tcW w:w="2094" w:type="dxa"/>
          </w:tcPr>
          <w:p w:rsidR="00627ECB" w:rsidRDefault="005E1B1C" w:rsidP="00555CB9">
            <w:pPr>
              <w:autoSpaceDE w:val="0"/>
              <w:autoSpaceDN w:val="0"/>
              <w:adjustRightInd w:val="0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30</w:t>
            </w:r>
            <w:r w:rsidR="00627ECB" w:rsidRPr="005F7643">
              <w:rPr>
                <w:color w:val="000000"/>
                <w:lang w:eastAsia="lv-LV"/>
              </w:rPr>
              <w:t>/</w:t>
            </w:r>
            <w:r w:rsidR="00627ECB">
              <w:rPr>
                <w:color w:val="000000"/>
                <w:lang w:eastAsia="lv-LV"/>
              </w:rPr>
              <w:t>3</w:t>
            </w:r>
            <w:r>
              <w:rPr>
                <w:color w:val="000000"/>
                <w:lang w:eastAsia="lv-LV"/>
              </w:rPr>
              <w:t>6</w:t>
            </w:r>
            <w:r w:rsidR="00627ECB" w:rsidRPr="005F7643">
              <w:rPr>
                <w:color w:val="000000"/>
                <w:lang w:eastAsia="lv-LV"/>
              </w:rPr>
              <w:t>*</w:t>
            </w:r>
            <w:r w:rsidR="00627ECB">
              <w:rPr>
                <w:color w:val="000000"/>
                <w:lang w:eastAsia="lv-LV"/>
              </w:rPr>
              <w:t>3</w:t>
            </w:r>
            <w:r w:rsidR="00627ECB" w:rsidRPr="005F7643">
              <w:rPr>
                <w:color w:val="000000"/>
                <w:lang w:eastAsia="lv-LV"/>
              </w:rPr>
              <w:t>0</w:t>
            </w:r>
          </w:p>
          <w:p w:rsidR="00695FDB" w:rsidRDefault="00627ECB" w:rsidP="005E1B1C">
            <w:pPr>
              <w:autoSpaceDE w:val="0"/>
              <w:autoSpaceDN w:val="0"/>
              <w:adjustRightInd w:val="0"/>
            </w:pPr>
            <w:r w:rsidRPr="005F7643">
              <w:rPr>
                <w:color w:val="000000"/>
                <w:lang w:eastAsia="lv-LV"/>
              </w:rPr>
              <w:t>=</w:t>
            </w:r>
            <w:r w:rsidR="005E1B1C">
              <w:rPr>
                <w:b/>
                <w:color w:val="000000"/>
                <w:lang w:eastAsia="lv-LV"/>
              </w:rPr>
              <w:t>25.00</w:t>
            </w:r>
          </w:p>
        </w:tc>
      </w:tr>
      <w:tr w:rsidR="00627ECB" w:rsidRPr="00782C99" w:rsidTr="00555CB9">
        <w:trPr>
          <w:trHeight w:val="1104"/>
        </w:trPr>
        <w:tc>
          <w:tcPr>
            <w:tcW w:w="1016" w:type="dxa"/>
          </w:tcPr>
          <w:p w:rsidR="00627ECB" w:rsidRPr="00782C99" w:rsidRDefault="00627ECB" w:rsidP="00555CB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927" w:type="dxa"/>
          </w:tcPr>
          <w:p w:rsidR="00627ECB" w:rsidRPr="00782C99" w:rsidRDefault="00627ECB" w:rsidP="00555CB9">
            <w:pPr>
              <w:autoSpaceDE w:val="0"/>
              <w:autoSpaceDN w:val="0"/>
              <w:adjustRightInd w:val="0"/>
            </w:pPr>
            <w:r w:rsidRPr="00782C99">
              <w:rPr>
                <w:b/>
                <w:bCs/>
              </w:rPr>
              <w:t>Maksim</w:t>
            </w:r>
            <w:r w:rsidRPr="00782C99">
              <w:rPr>
                <w:rFonts w:eastAsia="TimesNewRoman,Bold"/>
                <w:b/>
                <w:bCs/>
              </w:rPr>
              <w:t>ā</w:t>
            </w:r>
            <w:r w:rsidRPr="00782C99">
              <w:rPr>
                <w:b/>
                <w:bCs/>
              </w:rPr>
              <w:t>lais pieejamais punktu skaits</w:t>
            </w:r>
            <w:r>
              <w:rPr>
                <w:b/>
                <w:bCs/>
              </w:rPr>
              <w:t xml:space="preserve"> (C+V)</w:t>
            </w:r>
          </w:p>
        </w:tc>
        <w:tc>
          <w:tcPr>
            <w:tcW w:w="1363" w:type="dxa"/>
            <w:vAlign w:val="center"/>
          </w:tcPr>
          <w:p w:rsidR="00627ECB" w:rsidRPr="00782C99" w:rsidRDefault="00627ECB" w:rsidP="00555CB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82C99">
              <w:rPr>
                <w:b/>
                <w:bCs/>
              </w:rPr>
              <w:t>100</w:t>
            </w:r>
          </w:p>
          <w:p w:rsidR="00627ECB" w:rsidRPr="00782C99" w:rsidRDefault="00627ECB" w:rsidP="00555C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99" w:type="dxa"/>
            <w:vAlign w:val="center"/>
          </w:tcPr>
          <w:p w:rsidR="00627ECB" w:rsidRPr="00782C99" w:rsidRDefault="005E1B1C" w:rsidP="00555CB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color w:val="000000"/>
                <w:lang w:eastAsia="lv-LV"/>
              </w:rPr>
              <w:t>89.60</w:t>
            </w:r>
          </w:p>
        </w:tc>
        <w:tc>
          <w:tcPr>
            <w:tcW w:w="2099" w:type="dxa"/>
            <w:vAlign w:val="center"/>
          </w:tcPr>
          <w:p w:rsidR="00627ECB" w:rsidRPr="00782C99" w:rsidRDefault="005E1B1C" w:rsidP="00555CB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color w:val="000000"/>
                <w:lang w:eastAsia="lv-LV"/>
              </w:rPr>
              <w:t>67.82</w:t>
            </w:r>
          </w:p>
        </w:tc>
        <w:tc>
          <w:tcPr>
            <w:tcW w:w="2094" w:type="dxa"/>
            <w:vAlign w:val="center"/>
          </w:tcPr>
          <w:p w:rsidR="00627ECB" w:rsidRDefault="005E1B1C" w:rsidP="00555CB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color w:val="000000"/>
                <w:lang w:eastAsia="lv-LV"/>
              </w:rPr>
              <w:t>95.00</w:t>
            </w:r>
          </w:p>
        </w:tc>
      </w:tr>
    </w:tbl>
    <w:p w:rsidR="0048790D" w:rsidRPr="00695FDB" w:rsidRDefault="0048790D" w:rsidP="00405AC5">
      <w:pPr>
        <w:jc w:val="both"/>
      </w:pPr>
    </w:p>
    <w:p w:rsidR="00DC5D6B" w:rsidRPr="00DC5D6B" w:rsidRDefault="00DC5D6B" w:rsidP="00405AC5">
      <w:pPr>
        <w:jc w:val="both"/>
        <w:rPr>
          <w:b/>
        </w:rPr>
      </w:pPr>
      <w:r w:rsidRPr="00DC5D6B">
        <w:rPr>
          <w:b/>
        </w:rPr>
        <w:t xml:space="preserve"> 4. Piedāvājuma izvēle</w:t>
      </w:r>
    </w:p>
    <w:p w:rsidR="00405AC5" w:rsidRPr="00B77A79" w:rsidRDefault="00405AC5" w:rsidP="00405AC5">
      <w:pPr>
        <w:jc w:val="both"/>
      </w:pPr>
      <w:r w:rsidRPr="003A4C73">
        <w:t>Iepirkumu komisija ir saņēmusi e-izziņ</w:t>
      </w:r>
      <w:r w:rsidR="0040416F">
        <w:t>as</w:t>
      </w:r>
      <w:r w:rsidRPr="003A4C73">
        <w:t xml:space="preserve"> no </w:t>
      </w:r>
      <w:r>
        <w:t>Ministru kabineta noteiktās</w:t>
      </w:r>
      <w:r w:rsidRPr="003A4C73">
        <w:t xml:space="preserve"> informācijas sistēm</w:t>
      </w:r>
      <w:r>
        <w:t>as (</w:t>
      </w:r>
      <w:r w:rsidR="0048790D">
        <w:t>1</w:t>
      </w:r>
      <w:r>
        <w:t xml:space="preserve">.pielikums uz </w:t>
      </w:r>
      <w:r w:rsidR="00BD2282">
        <w:t>3</w:t>
      </w:r>
      <w:r>
        <w:t xml:space="preserve"> lpp.) par </w:t>
      </w:r>
      <w:r w:rsidR="00FA2DF1">
        <w:t>pretendentu</w:t>
      </w:r>
      <w:r>
        <w:t xml:space="preserve"> un secina, ka </w:t>
      </w:r>
      <w:r w:rsidR="00FA54D4" w:rsidRPr="00FA54D4">
        <w:rPr>
          <w:b/>
        </w:rPr>
        <w:t>SIA Daugavas Biznesa Centrs</w:t>
      </w:r>
      <w:r w:rsidR="00FA54D4">
        <w:t xml:space="preserve"> </w:t>
      </w:r>
      <w:r>
        <w:t xml:space="preserve">(vienotais </w:t>
      </w:r>
      <w:r w:rsidRPr="00063881">
        <w:t xml:space="preserve">reģistrācijas numurs </w:t>
      </w:r>
      <w:r w:rsidR="00FA54D4">
        <w:t>50003339941</w:t>
      </w:r>
      <w:r>
        <w:t xml:space="preserve">) </w:t>
      </w:r>
      <w:r w:rsidR="005D3F52">
        <w:t>nav n</w:t>
      </w:r>
      <w:r>
        <w:t xml:space="preserve">odokļu parādi uz </w:t>
      </w:r>
      <w:proofErr w:type="gramStart"/>
      <w:r>
        <w:t>2016.gada</w:t>
      </w:r>
      <w:proofErr w:type="gramEnd"/>
      <w:r>
        <w:t xml:space="preserve"> </w:t>
      </w:r>
      <w:r w:rsidR="00BD2282">
        <w:t>12</w:t>
      </w:r>
      <w:r w:rsidR="00FA2DF1">
        <w:t>.maiju</w:t>
      </w:r>
      <w:r w:rsidR="00FA54D4">
        <w:t xml:space="preserve"> (Sērija NO Nr.30918678-4816315</w:t>
      </w:r>
      <w:r w:rsidR="00BD2282">
        <w:t>)</w:t>
      </w:r>
      <w:r w:rsidR="00356671">
        <w:t xml:space="preserve"> un </w:t>
      </w:r>
      <w:r w:rsidR="00BD2282">
        <w:t>1</w:t>
      </w:r>
      <w:r w:rsidR="005E1B1C">
        <w:t>4</w:t>
      </w:r>
      <w:r w:rsidR="00FA2DF1">
        <w:t>.</w:t>
      </w:r>
      <w:r w:rsidR="00FA2DF1" w:rsidRPr="007F759A">
        <w:t>jūniju</w:t>
      </w:r>
      <w:r w:rsidR="00BD2282" w:rsidRPr="007F759A">
        <w:t xml:space="preserve"> (Sērija </w:t>
      </w:r>
      <w:r w:rsidR="002B3BA1" w:rsidRPr="007F759A">
        <w:rPr>
          <w:rFonts w:eastAsiaTheme="minorHAnsi"/>
          <w:iCs/>
        </w:rPr>
        <w:t xml:space="preserve">NO </w:t>
      </w:r>
      <w:r w:rsidR="002B3BA1" w:rsidRPr="007F759A">
        <w:rPr>
          <w:rFonts w:eastAsiaTheme="minorHAnsi"/>
        </w:rPr>
        <w:t>Nr.</w:t>
      </w:r>
      <w:r w:rsidR="007F759A" w:rsidRPr="007F759A">
        <w:rPr>
          <w:rFonts w:eastAsiaTheme="minorHAnsi"/>
        </w:rPr>
        <w:t>30919539-4823280</w:t>
      </w:r>
      <w:r w:rsidR="002B3BA1" w:rsidRPr="007F759A">
        <w:rPr>
          <w:rFonts w:eastAsiaTheme="minorHAnsi"/>
          <w:iCs/>
        </w:rPr>
        <w:t>),</w:t>
      </w:r>
      <w:r w:rsidR="002B3BA1" w:rsidRPr="007F759A">
        <w:rPr>
          <w:rFonts w:ascii="ArialItalic" w:eastAsiaTheme="minorHAnsi" w:hAnsi="ArialItalic" w:cs="ArialItalic"/>
          <w:i/>
          <w:iCs/>
          <w:sz w:val="22"/>
          <w:szCs w:val="22"/>
        </w:rPr>
        <w:t xml:space="preserve"> </w:t>
      </w:r>
      <w:r w:rsidR="00BD2282" w:rsidRPr="007F759A">
        <w:rPr>
          <w:rFonts w:eastAsia="Calibri"/>
        </w:rPr>
        <w:t>kā arī</w:t>
      </w:r>
      <w:r w:rsidRPr="007F759A">
        <w:rPr>
          <w:rFonts w:eastAsia="Calibri"/>
        </w:rPr>
        <w:t xml:space="preserve"> nav aktuālu datu par likvidācijas, maksātnespējas un saimnieciskās darbības apturēšanas procesiem</w:t>
      </w:r>
      <w:r w:rsidR="00BD2282" w:rsidRPr="007F759A">
        <w:rPr>
          <w:rFonts w:eastAsia="Calibri"/>
        </w:rPr>
        <w:t xml:space="preserve"> </w:t>
      </w:r>
      <w:r w:rsidR="00BD2282" w:rsidRPr="007F759A">
        <w:t xml:space="preserve">(Sērija </w:t>
      </w:r>
      <w:r w:rsidR="002B3BA1" w:rsidRPr="007F759A">
        <w:rPr>
          <w:rFonts w:eastAsiaTheme="minorHAnsi"/>
          <w:iCs/>
        </w:rPr>
        <w:t xml:space="preserve">URA </w:t>
      </w:r>
      <w:r w:rsidR="002B3BA1" w:rsidRPr="007F759A">
        <w:rPr>
          <w:rFonts w:eastAsiaTheme="minorHAnsi"/>
        </w:rPr>
        <w:t xml:space="preserve">Nr. </w:t>
      </w:r>
      <w:r w:rsidR="007F759A" w:rsidRPr="007F759A">
        <w:rPr>
          <w:rFonts w:eastAsiaTheme="minorHAnsi"/>
          <w:iCs/>
        </w:rPr>
        <w:t>30919539-4823279</w:t>
      </w:r>
      <w:r w:rsidR="002B3BA1" w:rsidRPr="007F759A">
        <w:rPr>
          <w:rFonts w:eastAsiaTheme="minorHAnsi"/>
          <w:iCs/>
        </w:rPr>
        <w:t>)</w:t>
      </w:r>
      <w:r w:rsidR="007F759A">
        <w:rPr>
          <w:rFonts w:eastAsiaTheme="minorHAnsi"/>
          <w:iCs/>
        </w:rPr>
        <w:t>.</w:t>
      </w:r>
    </w:p>
    <w:p w:rsidR="00405AC5" w:rsidRDefault="00405AC5" w:rsidP="00405AC5">
      <w:pPr>
        <w:pStyle w:val="ListParagraph"/>
        <w:tabs>
          <w:tab w:val="left" w:pos="284"/>
          <w:tab w:val="left" w:pos="426"/>
        </w:tabs>
        <w:ind w:left="0"/>
        <w:jc w:val="both"/>
        <w:rPr>
          <w:b/>
          <w:sz w:val="16"/>
          <w:szCs w:val="16"/>
        </w:rPr>
      </w:pPr>
    </w:p>
    <w:p w:rsidR="00405AC5" w:rsidRPr="0092164F" w:rsidRDefault="00DC5D6B" w:rsidP="00405AC5">
      <w:pPr>
        <w:tabs>
          <w:tab w:val="left" w:pos="426"/>
        </w:tabs>
        <w:rPr>
          <w:b/>
          <w:iCs/>
        </w:rPr>
      </w:pPr>
      <w:r>
        <w:rPr>
          <w:b/>
          <w:iCs/>
        </w:rPr>
        <w:t>5</w:t>
      </w:r>
      <w:r w:rsidR="00405AC5">
        <w:rPr>
          <w:b/>
          <w:iCs/>
        </w:rPr>
        <w:t xml:space="preserve">. </w:t>
      </w:r>
      <w:r w:rsidR="00405AC5" w:rsidRPr="0092164F">
        <w:rPr>
          <w:b/>
          <w:iCs/>
        </w:rPr>
        <w:t>Lēmuma pieņemšana</w:t>
      </w:r>
      <w:r w:rsidR="00405AC5">
        <w:rPr>
          <w:b/>
          <w:iCs/>
        </w:rPr>
        <w:t xml:space="preserve"> </w:t>
      </w:r>
    </w:p>
    <w:p w:rsidR="00405AC5" w:rsidRDefault="00405AC5" w:rsidP="00DC5D6B">
      <w:pPr>
        <w:tabs>
          <w:tab w:val="left" w:pos="426"/>
        </w:tabs>
        <w:jc w:val="center"/>
        <w:rPr>
          <w:b/>
          <w:iCs/>
        </w:rPr>
      </w:pPr>
      <w:r>
        <w:rPr>
          <w:b/>
          <w:iCs/>
        </w:rPr>
        <w:t>Iepirkumu komisija nolemj:</w:t>
      </w:r>
    </w:p>
    <w:p w:rsidR="0048790D" w:rsidRDefault="0048790D" w:rsidP="00DC5D6B">
      <w:pPr>
        <w:tabs>
          <w:tab w:val="left" w:pos="426"/>
        </w:tabs>
        <w:jc w:val="center"/>
        <w:rPr>
          <w:b/>
          <w:iCs/>
        </w:rPr>
      </w:pPr>
    </w:p>
    <w:p w:rsidR="00BD2282" w:rsidRDefault="00130794" w:rsidP="00FA54D4">
      <w:pPr>
        <w:spacing w:after="120"/>
        <w:jc w:val="both"/>
        <w:rPr>
          <w:bCs/>
        </w:rPr>
      </w:pPr>
      <w:r>
        <w:rPr>
          <w:rFonts w:eastAsia="Calibri"/>
        </w:rPr>
        <w:t xml:space="preserve">5.1. </w:t>
      </w:r>
      <w:r w:rsidR="00405AC5">
        <w:rPr>
          <w:rFonts w:eastAsia="Calibri"/>
        </w:rPr>
        <w:t>I</w:t>
      </w:r>
      <w:r w:rsidR="00405AC5" w:rsidRPr="00C74C75">
        <w:t>zvērtējot iesniegto</w:t>
      </w:r>
      <w:r w:rsidR="00405AC5">
        <w:t>s</w:t>
      </w:r>
      <w:r w:rsidR="00405AC5" w:rsidRPr="00C74C75">
        <w:t xml:space="preserve"> piedāvājumu</w:t>
      </w:r>
      <w:r w:rsidR="00405AC5">
        <w:t>s</w:t>
      </w:r>
      <w:r w:rsidR="00405AC5" w:rsidRPr="00C74C75">
        <w:t xml:space="preserve">, </w:t>
      </w:r>
      <w:r w:rsidR="00405AC5" w:rsidRPr="00FB100A">
        <w:t>atzīt par uzvarētāj</w:t>
      </w:r>
      <w:r w:rsidR="00405AC5">
        <w:t>u</w:t>
      </w:r>
      <w:r w:rsidR="00405AC5" w:rsidRPr="00FB100A">
        <w:t xml:space="preserve"> un </w:t>
      </w:r>
      <w:r w:rsidR="00405AC5">
        <w:t xml:space="preserve">piešķirt līguma slēgšanas tiesības </w:t>
      </w:r>
      <w:r w:rsidR="00FA54D4" w:rsidRPr="00FA54D4">
        <w:rPr>
          <w:b/>
        </w:rPr>
        <w:t>SIA Daugavas Biznesa Centrs</w:t>
      </w:r>
      <w:r w:rsidR="00FA54D4">
        <w:t xml:space="preserve"> </w:t>
      </w:r>
      <w:r w:rsidR="002B3BA1">
        <w:t>(</w:t>
      </w:r>
      <w:r w:rsidR="00405AC5" w:rsidRPr="00DD7A81">
        <w:t xml:space="preserve">vienotais reģistrācijas numurs </w:t>
      </w:r>
      <w:r w:rsidR="00FA54D4">
        <w:t>50003339941</w:t>
      </w:r>
      <w:r w:rsidR="002B3BA1">
        <w:t>)</w:t>
      </w:r>
      <w:r>
        <w:rPr>
          <w:bCs/>
        </w:rPr>
        <w:t>, ar</w:t>
      </w:r>
      <w:r w:rsidR="00FA54D4">
        <w:rPr>
          <w:bCs/>
        </w:rPr>
        <w:t xml:space="preserve"> nosacījumu, ka līguma summa divu</w:t>
      </w:r>
      <w:r w:rsidR="002B3BA1">
        <w:rPr>
          <w:bCs/>
        </w:rPr>
        <w:t xml:space="preserve"> (2)</w:t>
      </w:r>
      <w:r w:rsidR="00FA54D4">
        <w:rPr>
          <w:bCs/>
        </w:rPr>
        <w:t xml:space="preserve"> gadu periodā nepārsnie</w:t>
      </w:r>
      <w:r w:rsidR="002B3BA1">
        <w:rPr>
          <w:bCs/>
        </w:rPr>
        <w:t>dz</w:t>
      </w:r>
      <w:r w:rsidR="00FA54D4">
        <w:rPr>
          <w:bCs/>
        </w:rPr>
        <w:t xml:space="preserve"> 41</w:t>
      </w:r>
      <w:r w:rsidR="003765C1">
        <w:rPr>
          <w:bCs/>
        </w:rPr>
        <w:t> </w:t>
      </w:r>
      <w:r w:rsidR="00FA54D4">
        <w:rPr>
          <w:bCs/>
        </w:rPr>
        <w:t>999</w:t>
      </w:r>
      <w:r w:rsidR="003765C1">
        <w:rPr>
          <w:bCs/>
        </w:rPr>
        <w:t>,</w:t>
      </w:r>
      <w:r w:rsidR="00FA54D4">
        <w:rPr>
          <w:bCs/>
        </w:rPr>
        <w:t xml:space="preserve">99 </w:t>
      </w:r>
      <w:proofErr w:type="spellStart"/>
      <w:r w:rsidR="00FA54D4">
        <w:rPr>
          <w:bCs/>
        </w:rPr>
        <w:t>Eur</w:t>
      </w:r>
      <w:proofErr w:type="spellEnd"/>
      <w:r w:rsidR="00FA54D4">
        <w:rPr>
          <w:bCs/>
        </w:rPr>
        <w:t xml:space="preserve"> un ar finanšu piedāvājumā norādītajām izmak</w:t>
      </w:r>
      <w:r w:rsidR="002B3BA1">
        <w:rPr>
          <w:bCs/>
        </w:rPr>
        <w:t>sām</w:t>
      </w:r>
      <w:r w:rsidR="00FA54D4">
        <w:rPr>
          <w:bCs/>
        </w:rP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2872"/>
        <w:gridCol w:w="1579"/>
        <w:gridCol w:w="1149"/>
        <w:gridCol w:w="1027"/>
        <w:gridCol w:w="1291"/>
        <w:gridCol w:w="1518"/>
      </w:tblGrid>
      <w:tr w:rsidR="00FA54D4" w:rsidRPr="00B94CED" w:rsidTr="00BF131A">
        <w:tc>
          <w:tcPr>
            <w:tcW w:w="470" w:type="dxa"/>
            <w:vMerge w:val="restart"/>
          </w:tcPr>
          <w:p w:rsidR="00FA54D4" w:rsidRPr="00B94CED" w:rsidRDefault="00FA54D4" w:rsidP="00BF131A">
            <w:pPr>
              <w:rPr>
                <w:sz w:val="22"/>
                <w:szCs w:val="22"/>
              </w:rPr>
            </w:pPr>
          </w:p>
        </w:tc>
        <w:tc>
          <w:tcPr>
            <w:tcW w:w="2872" w:type="dxa"/>
            <w:vMerge w:val="restart"/>
            <w:vAlign w:val="center"/>
          </w:tcPr>
          <w:p w:rsidR="00FA54D4" w:rsidRPr="00B94CED" w:rsidRDefault="00FA54D4" w:rsidP="00BF131A">
            <w:pPr>
              <w:jc w:val="center"/>
              <w:rPr>
                <w:sz w:val="22"/>
                <w:szCs w:val="22"/>
              </w:rPr>
            </w:pPr>
            <w:r w:rsidRPr="00B94CED">
              <w:rPr>
                <w:sz w:val="22"/>
                <w:szCs w:val="22"/>
              </w:rPr>
              <w:t>Pakalpojuma veids</w:t>
            </w:r>
          </w:p>
        </w:tc>
        <w:tc>
          <w:tcPr>
            <w:tcW w:w="1579" w:type="dxa"/>
            <w:vMerge w:val="restart"/>
          </w:tcPr>
          <w:p w:rsidR="00FA54D4" w:rsidRPr="00B94CED" w:rsidRDefault="00FA54D4" w:rsidP="00BF131A">
            <w:pPr>
              <w:jc w:val="center"/>
              <w:rPr>
                <w:sz w:val="22"/>
                <w:szCs w:val="22"/>
              </w:rPr>
            </w:pPr>
          </w:p>
          <w:p w:rsidR="00FA54D4" w:rsidRPr="00B94CED" w:rsidRDefault="00FA54D4" w:rsidP="00BF131A">
            <w:pPr>
              <w:jc w:val="center"/>
              <w:rPr>
                <w:sz w:val="22"/>
                <w:szCs w:val="22"/>
              </w:rPr>
            </w:pPr>
            <w:r w:rsidRPr="00B94CED">
              <w:rPr>
                <w:sz w:val="22"/>
                <w:szCs w:val="22"/>
              </w:rPr>
              <w:t>Mērvienība</w:t>
            </w:r>
          </w:p>
        </w:tc>
        <w:tc>
          <w:tcPr>
            <w:tcW w:w="3467" w:type="dxa"/>
            <w:gridSpan w:val="3"/>
          </w:tcPr>
          <w:p w:rsidR="00FA54D4" w:rsidRPr="00B94CED" w:rsidRDefault="00FA54D4" w:rsidP="00BF131A">
            <w:pPr>
              <w:jc w:val="center"/>
              <w:rPr>
                <w:sz w:val="22"/>
                <w:szCs w:val="22"/>
              </w:rPr>
            </w:pPr>
            <w:r w:rsidRPr="00B94CED">
              <w:rPr>
                <w:sz w:val="22"/>
                <w:szCs w:val="22"/>
              </w:rPr>
              <w:t>Autobusi</w:t>
            </w:r>
          </w:p>
        </w:tc>
        <w:tc>
          <w:tcPr>
            <w:tcW w:w="1470" w:type="dxa"/>
          </w:tcPr>
          <w:p w:rsidR="00FA54D4" w:rsidRPr="00B94CED" w:rsidRDefault="00FA54D4" w:rsidP="00BF131A">
            <w:pPr>
              <w:jc w:val="center"/>
              <w:rPr>
                <w:sz w:val="22"/>
                <w:szCs w:val="22"/>
              </w:rPr>
            </w:pPr>
            <w:r w:rsidRPr="00B94CED">
              <w:rPr>
                <w:sz w:val="22"/>
                <w:szCs w:val="22"/>
              </w:rPr>
              <w:t>Vidējās</w:t>
            </w:r>
          </w:p>
          <w:p w:rsidR="00FA54D4" w:rsidRPr="00B94CED" w:rsidRDefault="00FA54D4" w:rsidP="00BF131A">
            <w:pPr>
              <w:jc w:val="center"/>
              <w:rPr>
                <w:sz w:val="22"/>
                <w:szCs w:val="22"/>
              </w:rPr>
            </w:pPr>
            <w:r w:rsidRPr="00B94CED">
              <w:rPr>
                <w:sz w:val="22"/>
                <w:szCs w:val="22"/>
              </w:rPr>
              <w:t>izmaksas EUR</w:t>
            </w:r>
          </w:p>
          <w:p w:rsidR="00FA54D4" w:rsidRPr="00B94CED" w:rsidRDefault="00FA54D4" w:rsidP="00BF131A">
            <w:pPr>
              <w:jc w:val="center"/>
              <w:rPr>
                <w:sz w:val="22"/>
                <w:szCs w:val="22"/>
              </w:rPr>
            </w:pPr>
            <w:r w:rsidRPr="00B94CED">
              <w:rPr>
                <w:sz w:val="22"/>
                <w:szCs w:val="22"/>
              </w:rPr>
              <w:t>bez PVN</w:t>
            </w:r>
          </w:p>
        </w:tc>
      </w:tr>
      <w:tr w:rsidR="00FA54D4" w:rsidRPr="00B94CED" w:rsidTr="00BF131A">
        <w:trPr>
          <w:trHeight w:val="207"/>
        </w:trPr>
        <w:tc>
          <w:tcPr>
            <w:tcW w:w="470" w:type="dxa"/>
            <w:vMerge/>
          </w:tcPr>
          <w:p w:rsidR="00FA54D4" w:rsidRPr="00B94CED" w:rsidRDefault="00FA54D4" w:rsidP="00BF131A">
            <w:pPr>
              <w:rPr>
                <w:sz w:val="22"/>
                <w:szCs w:val="22"/>
              </w:rPr>
            </w:pPr>
          </w:p>
        </w:tc>
        <w:tc>
          <w:tcPr>
            <w:tcW w:w="2872" w:type="dxa"/>
            <w:vMerge/>
          </w:tcPr>
          <w:p w:rsidR="00FA54D4" w:rsidRPr="00B94CED" w:rsidRDefault="00FA54D4" w:rsidP="00BF131A">
            <w:pPr>
              <w:rPr>
                <w:sz w:val="22"/>
                <w:szCs w:val="22"/>
              </w:rPr>
            </w:pPr>
          </w:p>
        </w:tc>
        <w:tc>
          <w:tcPr>
            <w:tcW w:w="1579" w:type="dxa"/>
            <w:vMerge/>
          </w:tcPr>
          <w:p w:rsidR="00FA54D4" w:rsidRPr="00B94CED" w:rsidRDefault="00FA54D4" w:rsidP="00BF13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</w:tcPr>
          <w:p w:rsidR="00FA54D4" w:rsidRPr="00B94CED" w:rsidRDefault="00FA54D4" w:rsidP="00EB39B6">
            <w:pPr>
              <w:jc w:val="center"/>
              <w:rPr>
                <w:sz w:val="22"/>
                <w:szCs w:val="22"/>
              </w:rPr>
            </w:pPr>
            <w:proofErr w:type="spellStart"/>
            <w:r w:rsidRPr="00B94CED">
              <w:rPr>
                <w:sz w:val="22"/>
                <w:szCs w:val="22"/>
              </w:rPr>
              <w:t>Mercedes</w:t>
            </w:r>
            <w:proofErr w:type="spellEnd"/>
            <w:r w:rsidRPr="00B94CED">
              <w:rPr>
                <w:sz w:val="22"/>
                <w:szCs w:val="22"/>
              </w:rPr>
              <w:t xml:space="preserve"> </w:t>
            </w:r>
            <w:proofErr w:type="spellStart"/>
            <w:r w:rsidRPr="00B94CED">
              <w:rPr>
                <w:sz w:val="22"/>
                <w:szCs w:val="22"/>
              </w:rPr>
              <w:t>Benz</w:t>
            </w:r>
            <w:proofErr w:type="spellEnd"/>
            <w:r w:rsidRPr="00B94CED">
              <w:rPr>
                <w:sz w:val="22"/>
                <w:szCs w:val="22"/>
              </w:rPr>
              <w:t xml:space="preserve"> </w:t>
            </w:r>
            <w:proofErr w:type="spellStart"/>
            <w:r w:rsidRPr="00B94CED">
              <w:rPr>
                <w:sz w:val="22"/>
                <w:szCs w:val="22"/>
              </w:rPr>
              <w:t>Intouro</w:t>
            </w:r>
            <w:proofErr w:type="spellEnd"/>
          </w:p>
        </w:tc>
        <w:tc>
          <w:tcPr>
            <w:tcW w:w="1027" w:type="dxa"/>
          </w:tcPr>
          <w:p w:rsidR="00FA54D4" w:rsidRPr="00B94CED" w:rsidRDefault="00FA54D4" w:rsidP="00BF131A">
            <w:pPr>
              <w:jc w:val="center"/>
              <w:rPr>
                <w:sz w:val="22"/>
                <w:szCs w:val="22"/>
              </w:rPr>
            </w:pPr>
            <w:r w:rsidRPr="00B94CED">
              <w:rPr>
                <w:sz w:val="22"/>
                <w:szCs w:val="22"/>
              </w:rPr>
              <w:t xml:space="preserve">MB </w:t>
            </w:r>
            <w:proofErr w:type="spellStart"/>
            <w:r w:rsidRPr="00B94CED">
              <w:rPr>
                <w:sz w:val="22"/>
                <w:szCs w:val="22"/>
              </w:rPr>
              <w:t>Sprinter</w:t>
            </w:r>
            <w:proofErr w:type="spellEnd"/>
            <w:r w:rsidRPr="00B94CED">
              <w:rPr>
                <w:sz w:val="22"/>
                <w:szCs w:val="22"/>
              </w:rPr>
              <w:t xml:space="preserve"> 3,5 TDI</w:t>
            </w:r>
          </w:p>
        </w:tc>
        <w:tc>
          <w:tcPr>
            <w:tcW w:w="1291" w:type="dxa"/>
          </w:tcPr>
          <w:p w:rsidR="00FA54D4" w:rsidRPr="00B94CED" w:rsidRDefault="00FA54D4" w:rsidP="00BF131A">
            <w:pPr>
              <w:jc w:val="center"/>
              <w:rPr>
                <w:sz w:val="22"/>
                <w:szCs w:val="22"/>
              </w:rPr>
            </w:pPr>
            <w:proofErr w:type="spellStart"/>
            <w:r w:rsidRPr="00B94CED">
              <w:rPr>
                <w:sz w:val="22"/>
                <w:szCs w:val="22"/>
              </w:rPr>
              <w:t>Setra</w:t>
            </w:r>
            <w:proofErr w:type="spellEnd"/>
            <w:r w:rsidRPr="00B94CED">
              <w:rPr>
                <w:sz w:val="22"/>
                <w:szCs w:val="22"/>
              </w:rPr>
              <w:t xml:space="preserve"> S 313 UL 12DT</w:t>
            </w:r>
          </w:p>
        </w:tc>
        <w:tc>
          <w:tcPr>
            <w:tcW w:w="1470" w:type="dxa"/>
          </w:tcPr>
          <w:p w:rsidR="00FA54D4" w:rsidRPr="00B94CED" w:rsidRDefault="00FA54D4" w:rsidP="00BF131A">
            <w:pPr>
              <w:jc w:val="center"/>
              <w:rPr>
                <w:sz w:val="22"/>
                <w:szCs w:val="22"/>
              </w:rPr>
            </w:pPr>
            <w:r w:rsidRPr="00B94CED">
              <w:rPr>
                <w:sz w:val="22"/>
                <w:szCs w:val="22"/>
              </w:rPr>
              <w:t>D=(A+B+C)/3</w:t>
            </w:r>
          </w:p>
        </w:tc>
      </w:tr>
      <w:tr w:rsidR="00FA54D4" w:rsidRPr="00B94CED" w:rsidTr="00BF131A">
        <w:trPr>
          <w:trHeight w:val="206"/>
        </w:trPr>
        <w:tc>
          <w:tcPr>
            <w:tcW w:w="470" w:type="dxa"/>
            <w:vMerge/>
          </w:tcPr>
          <w:p w:rsidR="00FA54D4" w:rsidRPr="00B94CED" w:rsidRDefault="00FA54D4" w:rsidP="00BF131A">
            <w:pPr>
              <w:rPr>
                <w:sz w:val="22"/>
                <w:szCs w:val="22"/>
              </w:rPr>
            </w:pPr>
          </w:p>
        </w:tc>
        <w:tc>
          <w:tcPr>
            <w:tcW w:w="2872" w:type="dxa"/>
            <w:vMerge/>
          </w:tcPr>
          <w:p w:rsidR="00FA54D4" w:rsidRPr="00B94CED" w:rsidRDefault="00FA54D4" w:rsidP="00BF131A">
            <w:pPr>
              <w:rPr>
                <w:sz w:val="22"/>
                <w:szCs w:val="22"/>
              </w:rPr>
            </w:pPr>
          </w:p>
        </w:tc>
        <w:tc>
          <w:tcPr>
            <w:tcW w:w="1579" w:type="dxa"/>
            <w:vMerge/>
          </w:tcPr>
          <w:p w:rsidR="00FA54D4" w:rsidRPr="00B94CED" w:rsidRDefault="00FA54D4" w:rsidP="00BF13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</w:tcPr>
          <w:p w:rsidR="00FA54D4" w:rsidRPr="00B94CED" w:rsidRDefault="00FA54D4" w:rsidP="00BF131A">
            <w:pPr>
              <w:jc w:val="center"/>
              <w:rPr>
                <w:b/>
                <w:sz w:val="22"/>
                <w:szCs w:val="22"/>
              </w:rPr>
            </w:pPr>
            <w:r w:rsidRPr="00B94CED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1027" w:type="dxa"/>
          </w:tcPr>
          <w:p w:rsidR="00FA54D4" w:rsidRPr="00B94CED" w:rsidRDefault="00FA54D4" w:rsidP="00BF131A">
            <w:pPr>
              <w:jc w:val="center"/>
              <w:rPr>
                <w:b/>
                <w:sz w:val="22"/>
                <w:szCs w:val="22"/>
              </w:rPr>
            </w:pPr>
            <w:r w:rsidRPr="00B94CED">
              <w:rPr>
                <w:b/>
                <w:sz w:val="22"/>
                <w:szCs w:val="22"/>
              </w:rPr>
              <w:t>B</w:t>
            </w:r>
          </w:p>
        </w:tc>
        <w:tc>
          <w:tcPr>
            <w:tcW w:w="1291" w:type="dxa"/>
          </w:tcPr>
          <w:p w:rsidR="00FA54D4" w:rsidRPr="00B94CED" w:rsidRDefault="00FA54D4" w:rsidP="00BF131A">
            <w:pPr>
              <w:jc w:val="center"/>
              <w:rPr>
                <w:b/>
                <w:sz w:val="22"/>
                <w:szCs w:val="22"/>
              </w:rPr>
            </w:pPr>
            <w:r w:rsidRPr="00B94CED">
              <w:rPr>
                <w:b/>
                <w:sz w:val="22"/>
                <w:szCs w:val="22"/>
              </w:rPr>
              <w:t>C</w:t>
            </w:r>
          </w:p>
        </w:tc>
        <w:tc>
          <w:tcPr>
            <w:tcW w:w="1470" w:type="dxa"/>
          </w:tcPr>
          <w:p w:rsidR="00FA54D4" w:rsidRPr="00B94CED" w:rsidRDefault="00FA54D4" w:rsidP="00BF131A">
            <w:pPr>
              <w:jc w:val="center"/>
              <w:rPr>
                <w:b/>
                <w:sz w:val="22"/>
                <w:szCs w:val="22"/>
              </w:rPr>
            </w:pPr>
            <w:r w:rsidRPr="00B94CED">
              <w:rPr>
                <w:b/>
                <w:sz w:val="22"/>
                <w:szCs w:val="22"/>
              </w:rPr>
              <w:t>D</w:t>
            </w:r>
          </w:p>
        </w:tc>
      </w:tr>
      <w:tr w:rsidR="00FA54D4" w:rsidRPr="00B94CED" w:rsidTr="00BF131A">
        <w:tc>
          <w:tcPr>
            <w:tcW w:w="470" w:type="dxa"/>
          </w:tcPr>
          <w:p w:rsidR="00FA54D4" w:rsidRPr="00B94CED" w:rsidRDefault="00FA54D4" w:rsidP="00BF131A">
            <w:pPr>
              <w:rPr>
                <w:sz w:val="22"/>
                <w:szCs w:val="22"/>
              </w:rPr>
            </w:pPr>
            <w:r w:rsidRPr="00B94CED">
              <w:rPr>
                <w:sz w:val="22"/>
                <w:szCs w:val="22"/>
              </w:rPr>
              <w:t>1</w:t>
            </w:r>
          </w:p>
        </w:tc>
        <w:tc>
          <w:tcPr>
            <w:tcW w:w="2872" w:type="dxa"/>
          </w:tcPr>
          <w:p w:rsidR="00FA54D4" w:rsidRPr="00B94CED" w:rsidRDefault="00FA54D4" w:rsidP="00BF131A">
            <w:pPr>
              <w:rPr>
                <w:sz w:val="22"/>
                <w:szCs w:val="22"/>
              </w:rPr>
            </w:pPr>
            <w:r w:rsidRPr="00B94CED">
              <w:rPr>
                <w:sz w:val="22"/>
                <w:szCs w:val="22"/>
              </w:rPr>
              <w:t>Elektroiekārtas diagnostika un remonts</w:t>
            </w:r>
          </w:p>
        </w:tc>
        <w:tc>
          <w:tcPr>
            <w:tcW w:w="1579" w:type="dxa"/>
          </w:tcPr>
          <w:p w:rsidR="00FA54D4" w:rsidRPr="00B94CED" w:rsidRDefault="00FA54D4" w:rsidP="00BF131A">
            <w:pPr>
              <w:jc w:val="center"/>
              <w:rPr>
                <w:sz w:val="22"/>
                <w:szCs w:val="22"/>
              </w:rPr>
            </w:pPr>
            <w:r w:rsidRPr="00B94CED">
              <w:rPr>
                <w:sz w:val="22"/>
                <w:szCs w:val="22"/>
              </w:rPr>
              <w:t>EUR /stundā</w:t>
            </w:r>
          </w:p>
        </w:tc>
        <w:tc>
          <w:tcPr>
            <w:tcW w:w="1149" w:type="dxa"/>
          </w:tcPr>
          <w:p w:rsidR="00FA54D4" w:rsidRPr="00B94CED" w:rsidRDefault="00FA54D4" w:rsidP="00BF1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25.00</w:t>
            </w:r>
          </w:p>
        </w:tc>
        <w:tc>
          <w:tcPr>
            <w:tcW w:w="1027" w:type="dxa"/>
          </w:tcPr>
          <w:p w:rsidR="00FA54D4" w:rsidRPr="00B94CED" w:rsidRDefault="00FA54D4" w:rsidP="00BF1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20.00</w:t>
            </w:r>
          </w:p>
        </w:tc>
        <w:tc>
          <w:tcPr>
            <w:tcW w:w="1291" w:type="dxa"/>
          </w:tcPr>
          <w:p w:rsidR="00FA54D4" w:rsidRPr="00B94CED" w:rsidRDefault="00FA54D4" w:rsidP="00BF1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25.00</w:t>
            </w:r>
          </w:p>
        </w:tc>
        <w:tc>
          <w:tcPr>
            <w:tcW w:w="1470" w:type="dxa"/>
          </w:tcPr>
          <w:p w:rsidR="00FA54D4" w:rsidRPr="00B94CED" w:rsidRDefault="00FA54D4" w:rsidP="00BF1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23.33</w:t>
            </w:r>
          </w:p>
        </w:tc>
      </w:tr>
      <w:tr w:rsidR="00FA54D4" w:rsidRPr="00B94CED" w:rsidTr="00BF131A">
        <w:tc>
          <w:tcPr>
            <w:tcW w:w="470" w:type="dxa"/>
          </w:tcPr>
          <w:p w:rsidR="00FA54D4" w:rsidRPr="00B94CED" w:rsidRDefault="00FA54D4" w:rsidP="00BF131A">
            <w:pPr>
              <w:rPr>
                <w:sz w:val="22"/>
                <w:szCs w:val="22"/>
              </w:rPr>
            </w:pPr>
            <w:r w:rsidRPr="00B94CED">
              <w:rPr>
                <w:sz w:val="22"/>
                <w:szCs w:val="22"/>
              </w:rPr>
              <w:t>2</w:t>
            </w:r>
          </w:p>
        </w:tc>
        <w:tc>
          <w:tcPr>
            <w:tcW w:w="2872" w:type="dxa"/>
          </w:tcPr>
          <w:p w:rsidR="00FA54D4" w:rsidRPr="00B94CED" w:rsidRDefault="00FA54D4" w:rsidP="00BF131A">
            <w:pPr>
              <w:rPr>
                <w:sz w:val="22"/>
                <w:szCs w:val="22"/>
              </w:rPr>
            </w:pPr>
            <w:r w:rsidRPr="00B94CED">
              <w:rPr>
                <w:sz w:val="22"/>
                <w:szCs w:val="22"/>
              </w:rPr>
              <w:t>Dīzeļdzinēju diagnostika un remonts</w:t>
            </w:r>
          </w:p>
        </w:tc>
        <w:tc>
          <w:tcPr>
            <w:tcW w:w="1579" w:type="dxa"/>
          </w:tcPr>
          <w:p w:rsidR="00FA54D4" w:rsidRPr="00B94CED" w:rsidRDefault="00FA54D4" w:rsidP="00BF131A">
            <w:pPr>
              <w:jc w:val="center"/>
              <w:rPr>
                <w:sz w:val="22"/>
                <w:szCs w:val="22"/>
              </w:rPr>
            </w:pPr>
            <w:r w:rsidRPr="00B94CED">
              <w:rPr>
                <w:sz w:val="22"/>
                <w:szCs w:val="22"/>
              </w:rPr>
              <w:t>EUR /stundā</w:t>
            </w:r>
          </w:p>
        </w:tc>
        <w:tc>
          <w:tcPr>
            <w:tcW w:w="1149" w:type="dxa"/>
          </w:tcPr>
          <w:p w:rsidR="00FA54D4" w:rsidRPr="00B94CED" w:rsidRDefault="00FA54D4" w:rsidP="00BF1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25.00</w:t>
            </w:r>
          </w:p>
        </w:tc>
        <w:tc>
          <w:tcPr>
            <w:tcW w:w="1027" w:type="dxa"/>
          </w:tcPr>
          <w:p w:rsidR="00FA54D4" w:rsidRPr="00B94CED" w:rsidRDefault="00FA54D4" w:rsidP="00BF1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20.00</w:t>
            </w:r>
          </w:p>
        </w:tc>
        <w:tc>
          <w:tcPr>
            <w:tcW w:w="1291" w:type="dxa"/>
          </w:tcPr>
          <w:p w:rsidR="00FA54D4" w:rsidRPr="00B94CED" w:rsidRDefault="00FA54D4" w:rsidP="00BF1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25.00</w:t>
            </w:r>
          </w:p>
        </w:tc>
        <w:tc>
          <w:tcPr>
            <w:tcW w:w="1470" w:type="dxa"/>
          </w:tcPr>
          <w:p w:rsidR="00FA54D4" w:rsidRPr="00B94CED" w:rsidRDefault="00FA54D4" w:rsidP="00BF1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23.33</w:t>
            </w:r>
          </w:p>
        </w:tc>
      </w:tr>
      <w:tr w:rsidR="00FA54D4" w:rsidRPr="00B94CED" w:rsidTr="00BF131A">
        <w:tc>
          <w:tcPr>
            <w:tcW w:w="470" w:type="dxa"/>
          </w:tcPr>
          <w:p w:rsidR="00FA54D4" w:rsidRPr="00B94CED" w:rsidRDefault="00FA54D4" w:rsidP="00BF131A">
            <w:pPr>
              <w:rPr>
                <w:sz w:val="22"/>
                <w:szCs w:val="22"/>
              </w:rPr>
            </w:pPr>
            <w:r w:rsidRPr="00B94CED">
              <w:rPr>
                <w:sz w:val="22"/>
                <w:szCs w:val="22"/>
              </w:rPr>
              <w:t>3</w:t>
            </w:r>
          </w:p>
        </w:tc>
        <w:tc>
          <w:tcPr>
            <w:tcW w:w="2872" w:type="dxa"/>
          </w:tcPr>
          <w:p w:rsidR="00FA54D4" w:rsidRPr="00B94CED" w:rsidRDefault="00FA54D4" w:rsidP="00BF131A">
            <w:pPr>
              <w:rPr>
                <w:sz w:val="22"/>
                <w:szCs w:val="22"/>
              </w:rPr>
            </w:pPr>
            <w:r w:rsidRPr="00B94CED">
              <w:rPr>
                <w:sz w:val="22"/>
                <w:szCs w:val="22"/>
              </w:rPr>
              <w:t>Priekšējo lukturu pārbaude un regulēšana</w:t>
            </w:r>
          </w:p>
        </w:tc>
        <w:tc>
          <w:tcPr>
            <w:tcW w:w="1579" w:type="dxa"/>
          </w:tcPr>
          <w:p w:rsidR="00FA54D4" w:rsidRPr="00B94CED" w:rsidRDefault="00FA54D4" w:rsidP="00BF131A">
            <w:pPr>
              <w:jc w:val="center"/>
              <w:rPr>
                <w:sz w:val="22"/>
                <w:szCs w:val="22"/>
              </w:rPr>
            </w:pPr>
            <w:r w:rsidRPr="00B94CED">
              <w:rPr>
                <w:sz w:val="22"/>
                <w:szCs w:val="22"/>
              </w:rPr>
              <w:t>EUR /stundā</w:t>
            </w:r>
          </w:p>
        </w:tc>
        <w:tc>
          <w:tcPr>
            <w:tcW w:w="1149" w:type="dxa"/>
          </w:tcPr>
          <w:p w:rsidR="00FA54D4" w:rsidRPr="00B94CED" w:rsidRDefault="00FA54D4" w:rsidP="00BF1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5.00</w:t>
            </w:r>
          </w:p>
        </w:tc>
        <w:tc>
          <w:tcPr>
            <w:tcW w:w="1027" w:type="dxa"/>
          </w:tcPr>
          <w:p w:rsidR="00FA54D4" w:rsidRPr="00B94CED" w:rsidRDefault="00FA54D4" w:rsidP="00BF1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5.00</w:t>
            </w:r>
          </w:p>
        </w:tc>
        <w:tc>
          <w:tcPr>
            <w:tcW w:w="1291" w:type="dxa"/>
          </w:tcPr>
          <w:p w:rsidR="00FA54D4" w:rsidRPr="00B94CED" w:rsidRDefault="00FA54D4" w:rsidP="00BF1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5.00</w:t>
            </w:r>
          </w:p>
        </w:tc>
        <w:tc>
          <w:tcPr>
            <w:tcW w:w="1470" w:type="dxa"/>
          </w:tcPr>
          <w:p w:rsidR="00FA54D4" w:rsidRPr="00B94CED" w:rsidRDefault="00FA54D4" w:rsidP="00BF1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5.00</w:t>
            </w:r>
          </w:p>
        </w:tc>
      </w:tr>
      <w:tr w:rsidR="00FA54D4" w:rsidRPr="00B94CED" w:rsidTr="00BF131A">
        <w:tc>
          <w:tcPr>
            <w:tcW w:w="470" w:type="dxa"/>
          </w:tcPr>
          <w:p w:rsidR="00FA54D4" w:rsidRPr="00B94CED" w:rsidRDefault="00FA54D4" w:rsidP="00BF131A">
            <w:pPr>
              <w:rPr>
                <w:sz w:val="22"/>
                <w:szCs w:val="22"/>
              </w:rPr>
            </w:pPr>
            <w:r w:rsidRPr="00B94CED">
              <w:rPr>
                <w:sz w:val="22"/>
                <w:szCs w:val="22"/>
              </w:rPr>
              <w:t>4</w:t>
            </w:r>
          </w:p>
        </w:tc>
        <w:tc>
          <w:tcPr>
            <w:tcW w:w="2872" w:type="dxa"/>
          </w:tcPr>
          <w:p w:rsidR="00FA54D4" w:rsidRPr="00B94CED" w:rsidRDefault="00FA54D4" w:rsidP="00BF131A">
            <w:pPr>
              <w:rPr>
                <w:sz w:val="22"/>
                <w:szCs w:val="22"/>
              </w:rPr>
            </w:pPr>
            <w:r w:rsidRPr="00B94CED">
              <w:rPr>
                <w:sz w:val="22"/>
                <w:szCs w:val="22"/>
              </w:rPr>
              <w:t>Riepu montāža un balansēšana</w:t>
            </w:r>
          </w:p>
        </w:tc>
        <w:tc>
          <w:tcPr>
            <w:tcW w:w="1579" w:type="dxa"/>
          </w:tcPr>
          <w:p w:rsidR="00FA54D4" w:rsidRPr="00B94CED" w:rsidRDefault="00FA54D4" w:rsidP="00BF131A">
            <w:pPr>
              <w:jc w:val="center"/>
              <w:rPr>
                <w:sz w:val="22"/>
                <w:szCs w:val="22"/>
              </w:rPr>
            </w:pPr>
            <w:r w:rsidRPr="00B94CED">
              <w:rPr>
                <w:sz w:val="22"/>
                <w:szCs w:val="22"/>
              </w:rPr>
              <w:t>Viena riepa</w:t>
            </w:r>
          </w:p>
        </w:tc>
        <w:tc>
          <w:tcPr>
            <w:tcW w:w="1149" w:type="dxa"/>
          </w:tcPr>
          <w:p w:rsidR="00FA54D4" w:rsidRPr="00B94CED" w:rsidRDefault="00FA54D4" w:rsidP="00BF1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1027" w:type="dxa"/>
          </w:tcPr>
          <w:p w:rsidR="00FA54D4" w:rsidRPr="00B94CED" w:rsidRDefault="00FA54D4" w:rsidP="00BF1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5.00</w:t>
            </w:r>
          </w:p>
        </w:tc>
        <w:tc>
          <w:tcPr>
            <w:tcW w:w="1291" w:type="dxa"/>
          </w:tcPr>
          <w:p w:rsidR="00FA54D4" w:rsidRPr="00B94CED" w:rsidRDefault="00FA54D4" w:rsidP="00BF1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1470" w:type="dxa"/>
          </w:tcPr>
          <w:p w:rsidR="00FA54D4" w:rsidRPr="00B94CED" w:rsidRDefault="00FA54D4" w:rsidP="00BF1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11.67</w:t>
            </w:r>
          </w:p>
        </w:tc>
      </w:tr>
      <w:tr w:rsidR="00FA54D4" w:rsidRPr="00B94CED" w:rsidTr="00BF131A">
        <w:tc>
          <w:tcPr>
            <w:tcW w:w="470" w:type="dxa"/>
          </w:tcPr>
          <w:p w:rsidR="00FA54D4" w:rsidRPr="00B94CED" w:rsidRDefault="00FA54D4" w:rsidP="00BF131A">
            <w:pPr>
              <w:rPr>
                <w:sz w:val="22"/>
                <w:szCs w:val="22"/>
              </w:rPr>
            </w:pPr>
            <w:r w:rsidRPr="00B94CED">
              <w:rPr>
                <w:sz w:val="22"/>
                <w:szCs w:val="22"/>
              </w:rPr>
              <w:t>5</w:t>
            </w:r>
          </w:p>
        </w:tc>
        <w:tc>
          <w:tcPr>
            <w:tcW w:w="2872" w:type="dxa"/>
          </w:tcPr>
          <w:p w:rsidR="00FA54D4" w:rsidRPr="00B94CED" w:rsidRDefault="00FA54D4" w:rsidP="00BF131A">
            <w:pPr>
              <w:rPr>
                <w:sz w:val="22"/>
                <w:szCs w:val="22"/>
              </w:rPr>
            </w:pPr>
            <w:r w:rsidRPr="00B94CED">
              <w:rPr>
                <w:sz w:val="22"/>
                <w:szCs w:val="22"/>
              </w:rPr>
              <w:t>Ritošās daļas ģeometrijas regulēšana</w:t>
            </w:r>
          </w:p>
        </w:tc>
        <w:tc>
          <w:tcPr>
            <w:tcW w:w="1579" w:type="dxa"/>
          </w:tcPr>
          <w:p w:rsidR="00FA54D4" w:rsidRPr="00B94CED" w:rsidRDefault="00FA54D4" w:rsidP="00BF131A">
            <w:pPr>
              <w:jc w:val="center"/>
              <w:rPr>
                <w:sz w:val="22"/>
                <w:szCs w:val="22"/>
              </w:rPr>
            </w:pPr>
            <w:r w:rsidRPr="00B94CED">
              <w:rPr>
                <w:sz w:val="22"/>
                <w:szCs w:val="22"/>
              </w:rPr>
              <w:t>Viena ass</w:t>
            </w:r>
          </w:p>
        </w:tc>
        <w:tc>
          <w:tcPr>
            <w:tcW w:w="1149" w:type="dxa"/>
          </w:tcPr>
          <w:p w:rsidR="00FA54D4" w:rsidRPr="00B94CED" w:rsidRDefault="00FA54D4" w:rsidP="00BF1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40.00</w:t>
            </w:r>
          </w:p>
        </w:tc>
        <w:tc>
          <w:tcPr>
            <w:tcW w:w="1027" w:type="dxa"/>
          </w:tcPr>
          <w:p w:rsidR="00FA54D4" w:rsidRPr="00B94CED" w:rsidRDefault="00FA54D4" w:rsidP="00BF1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20.00</w:t>
            </w:r>
          </w:p>
        </w:tc>
        <w:tc>
          <w:tcPr>
            <w:tcW w:w="1291" w:type="dxa"/>
          </w:tcPr>
          <w:p w:rsidR="00FA54D4" w:rsidRPr="00B94CED" w:rsidRDefault="00FA54D4" w:rsidP="00BF1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40.00</w:t>
            </w:r>
          </w:p>
        </w:tc>
        <w:tc>
          <w:tcPr>
            <w:tcW w:w="1470" w:type="dxa"/>
          </w:tcPr>
          <w:p w:rsidR="00FA54D4" w:rsidRPr="00B94CED" w:rsidRDefault="00FA54D4" w:rsidP="00BF1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33.33</w:t>
            </w:r>
          </w:p>
        </w:tc>
      </w:tr>
      <w:tr w:rsidR="00FA54D4" w:rsidRPr="00B94CED" w:rsidTr="00BF131A">
        <w:tc>
          <w:tcPr>
            <w:tcW w:w="470" w:type="dxa"/>
          </w:tcPr>
          <w:p w:rsidR="00FA54D4" w:rsidRPr="00B94CED" w:rsidRDefault="00FA54D4" w:rsidP="00BF131A">
            <w:pPr>
              <w:rPr>
                <w:sz w:val="22"/>
                <w:szCs w:val="22"/>
              </w:rPr>
            </w:pPr>
            <w:r w:rsidRPr="00B94CED">
              <w:rPr>
                <w:sz w:val="22"/>
                <w:szCs w:val="22"/>
              </w:rPr>
              <w:t>6</w:t>
            </w:r>
          </w:p>
        </w:tc>
        <w:tc>
          <w:tcPr>
            <w:tcW w:w="2872" w:type="dxa"/>
          </w:tcPr>
          <w:p w:rsidR="00FA54D4" w:rsidRPr="00B94CED" w:rsidRDefault="00FA54D4" w:rsidP="00BF131A">
            <w:pPr>
              <w:rPr>
                <w:sz w:val="22"/>
                <w:szCs w:val="22"/>
              </w:rPr>
            </w:pPr>
            <w:r w:rsidRPr="00B94CED">
              <w:rPr>
                <w:sz w:val="22"/>
                <w:szCs w:val="22"/>
              </w:rPr>
              <w:t>Tehniskā apkope</w:t>
            </w:r>
          </w:p>
        </w:tc>
        <w:tc>
          <w:tcPr>
            <w:tcW w:w="1579" w:type="dxa"/>
          </w:tcPr>
          <w:p w:rsidR="00FA54D4" w:rsidRPr="00B94CED" w:rsidRDefault="00FA54D4" w:rsidP="00BF131A">
            <w:pPr>
              <w:jc w:val="center"/>
              <w:rPr>
                <w:sz w:val="22"/>
                <w:szCs w:val="22"/>
              </w:rPr>
            </w:pPr>
            <w:r w:rsidRPr="00B94CED">
              <w:rPr>
                <w:sz w:val="22"/>
                <w:szCs w:val="22"/>
              </w:rPr>
              <w:t>EUR /stundā</w:t>
            </w:r>
          </w:p>
        </w:tc>
        <w:tc>
          <w:tcPr>
            <w:tcW w:w="1149" w:type="dxa"/>
          </w:tcPr>
          <w:p w:rsidR="00FA54D4" w:rsidRPr="00B94CED" w:rsidRDefault="00FA54D4" w:rsidP="00BF1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25.00</w:t>
            </w:r>
          </w:p>
        </w:tc>
        <w:tc>
          <w:tcPr>
            <w:tcW w:w="1027" w:type="dxa"/>
          </w:tcPr>
          <w:p w:rsidR="00FA54D4" w:rsidRPr="00B94CED" w:rsidRDefault="00FA54D4" w:rsidP="00BF1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20.00</w:t>
            </w:r>
          </w:p>
        </w:tc>
        <w:tc>
          <w:tcPr>
            <w:tcW w:w="1291" w:type="dxa"/>
          </w:tcPr>
          <w:p w:rsidR="00FA54D4" w:rsidRPr="00B94CED" w:rsidRDefault="00FA54D4" w:rsidP="00BF1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25.00</w:t>
            </w:r>
          </w:p>
        </w:tc>
        <w:tc>
          <w:tcPr>
            <w:tcW w:w="1470" w:type="dxa"/>
          </w:tcPr>
          <w:p w:rsidR="00FA54D4" w:rsidRPr="00B94CED" w:rsidRDefault="00FA54D4" w:rsidP="00BF1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23.33</w:t>
            </w:r>
          </w:p>
        </w:tc>
      </w:tr>
      <w:tr w:rsidR="00FA54D4" w:rsidRPr="00B94CED" w:rsidTr="00BF131A">
        <w:tc>
          <w:tcPr>
            <w:tcW w:w="470" w:type="dxa"/>
          </w:tcPr>
          <w:p w:rsidR="00FA54D4" w:rsidRPr="00B94CED" w:rsidRDefault="00FA54D4" w:rsidP="00BF131A">
            <w:pPr>
              <w:rPr>
                <w:sz w:val="22"/>
                <w:szCs w:val="22"/>
              </w:rPr>
            </w:pPr>
            <w:r w:rsidRPr="00B94CED">
              <w:rPr>
                <w:sz w:val="22"/>
                <w:szCs w:val="22"/>
              </w:rPr>
              <w:t>7</w:t>
            </w:r>
          </w:p>
        </w:tc>
        <w:tc>
          <w:tcPr>
            <w:tcW w:w="2872" w:type="dxa"/>
          </w:tcPr>
          <w:p w:rsidR="00FA54D4" w:rsidRPr="00B94CED" w:rsidRDefault="00FA54D4" w:rsidP="00BF131A">
            <w:pPr>
              <w:rPr>
                <w:sz w:val="22"/>
                <w:szCs w:val="22"/>
              </w:rPr>
            </w:pPr>
            <w:r w:rsidRPr="00B94CED">
              <w:rPr>
                <w:sz w:val="22"/>
                <w:szCs w:val="22"/>
              </w:rPr>
              <w:t>Citi remontdarbi</w:t>
            </w:r>
          </w:p>
        </w:tc>
        <w:tc>
          <w:tcPr>
            <w:tcW w:w="1579" w:type="dxa"/>
          </w:tcPr>
          <w:p w:rsidR="00FA54D4" w:rsidRPr="00B94CED" w:rsidRDefault="00FA54D4" w:rsidP="00BF131A">
            <w:pPr>
              <w:jc w:val="center"/>
              <w:rPr>
                <w:sz w:val="22"/>
                <w:szCs w:val="22"/>
              </w:rPr>
            </w:pPr>
            <w:r w:rsidRPr="00B94CED">
              <w:rPr>
                <w:sz w:val="22"/>
                <w:szCs w:val="22"/>
              </w:rPr>
              <w:t>EUR /stundā</w:t>
            </w: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FA54D4" w:rsidRPr="00B94CED" w:rsidRDefault="00FA54D4" w:rsidP="00BF1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25.00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FA54D4" w:rsidRPr="00B94CED" w:rsidRDefault="00FA54D4" w:rsidP="00BF1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20.00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FA54D4" w:rsidRPr="00B94CED" w:rsidRDefault="00FA54D4" w:rsidP="00BF1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25.00</w:t>
            </w:r>
          </w:p>
        </w:tc>
        <w:tc>
          <w:tcPr>
            <w:tcW w:w="1470" w:type="dxa"/>
            <w:tcBorders>
              <w:bottom w:val="single" w:sz="8" w:space="0" w:color="auto"/>
            </w:tcBorders>
          </w:tcPr>
          <w:p w:rsidR="00FA54D4" w:rsidRPr="00B94CED" w:rsidRDefault="00FA54D4" w:rsidP="00BF1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23.33</w:t>
            </w:r>
          </w:p>
        </w:tc>
      </w:tr>
      <w:tr w:rsidR="00FA54D4" w:rsidRPr="00B94CED" w:rsidTr="00BF131A">
        <w:tc>
          <w:tcPr>
            <w:tcW w:w="470" w:type="dxa"/>
          </w:tcPr>
          <w:p w:rsidR="00FA54D4" w:rsidRPr="00B94CED" w:rsidRDefault="00FA54D4" w:rsidP="00BF131A">
            <w:pPr>
              <w:rPr>
                <w:sz w:val="22"/>
                <w:szCs w:val="22"/>
              </w:rPr>
            </w:pPr>
          </w:p>
        </w:tc>
        <w:tc>
          <w:tcPr>
            <w:tcW w:w="2872" w:type="dxa"/>
          </w:tcPr>
          <w:p w:rsidR="00FA54D4" w:rsidRPr="00B94CED" w:rsidRDefault="00FA54D4" w:rsidP="00BF131A">
            <w:pPr>
              <w:rPr>
                <w:sz w:val="22"/>
                <w:szCs w:val="22"/>
              </w:rPr>
            </w:pPr>
          </w:p>
        </w:tc>
        <w:tc>
          <w:tcPr>
            <w:tcW w:w="1579" w:type="dxa"/>
          </w:tcPr>
          <w:p w:rsidR="00FA54D4" w:rsidRPr="00B94CED" w:rsidRDefault="00FA54D4" w:rsidP="00BF131A">
            <w:pPr>
              <w:jc w:val="center"/>
              <w:rPr>
                <w:sz w:val="22"/>
                <w:szCs w:val="22"/>
              </w:rPr>
            </w:pPr>
            <w:r w:rsidRPr="00B94CED">
              <w:rPr>
                <w:sz w:val="22"/>
                <w:szCs w:val="22"/>
              </w:rPr>
              <w:t>KOPĀ:</w:t>
            </w:r>
          </w:p>
        </w:tc>
        <w:tc>
          <w:tcPr>
            <w:tcW w:w="1149" w:type="dxa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FA54D4" w:rsidRPr="00B94CED" w:rsidRDefault="00FA54D4" w:rsidP="00BF13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FA54D4" w:rsidRPr="00B94CED" w:rsidRDefault="00FA54D4" w:rsidP="00BF13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FA54D4" w:rsidRPr="00B94CED" w:rsidRDefault="00FA54D4" w:rsidP="00BF13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54D4" w:rsidRPr="00B94CED" w:rsidRDefault="00FA54D4" w:rsidP="00BF1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143.33</w:t>
            </w:r>
          </w:p>
        </w:tc>
      </w:tr>
    </w:tbl>
    <w:p w:rsidR="00FA54D4" w:rsidRDefault="00FA54D4" w:rsidP="00FA54D4">
      <w:pPr>
        <w:spacing w:after="120"/>
        <w:jc w:val="both"/>
        <w:rPr>
          <w:b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6"/>
        <w:gridCol w:w="1843"/>
      </w:tblGrid>
      <w:tr w:rsidR="005E1B1C" w:rsidRPr="00B94CED" w:rsidTr="00BF131A">
        <w:tc>
          <w:tcPr>
            <w:tcW w:w="7756" w:type="dxa"/>
          </w:tcPr>
          <w:p w:rsidR="005E1B1C" w:rsidRPr="00B94CED" w:rsidRDefault="005E1B1C" w:rsidP="00BF131A">
            <w:pPr>
              <w:rPr>
                <w:sz w:val="22"/>
                <w:szCs w:val="22"/>
              </w:rPr>
            </w:pPr>
            <w:r w:rsidRPr="00B94CED">
              <w:rPr>
                <w:sz w:val="22"/>
                <w:szCs w:val="22"/>
              </w:rPr>
              <w:t>Atlaide rezerves daļām (%)</w:t>
            </w:r>
          </w:p>
        </w:tc>
        <w:tc>
          <w:tcPr>
            <w:tcW w:w="1843" w:type="dxa"/>
          </w:tcPr>
          <w:p w:rsidR="005E1B1C" w:rsidRPr="00B94CED" w:rsidRDefault="005E1B1C" w:rsidP="00BF1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5%</w:t>
            </w:r>
          </w:p>
        </w:tc>
      </w:tr>
    </w:tbl>
    <w:p w:rsidR="005E1B1C" w:rsidRDefault="005E1B1C" w:rsidP="00FA54D4">
      <w:pPr>
        <w:spacing w:after="120"/>
        <w:jc w:val="both"/>
        <w:rPr>
          <w:b/>
        </w:rPr>
      </w:pPr>
    </w:p>
    <w:p w:rsidR="004E099A" w:rsidRDefault="004E099A" w:rsidP="00405AC5">
      <w:pPr>
        <w:tabs>
          <w:tab w:val="num" w:pos="0"/>
        </w:tabs>
        <w:jc w:val="both"/>
      </w:pPr>
    </w:p>
    <w:p w:rsidR="004E099A" w:rsidRDefault="004E099A" w:rsidP="00405AC5">
      <w:pPr>
        <w:tabs>
          <w:tab w:val="num" w:pos="0"/>
        </w:tabs>
        <w:jc w:val="both"/>
      </w:pPr>
    </w:p>
    <w:p w:rsidR="00405AC5" w:rsidRDefault="00405AC5" w:rsidP="00405AC5">
      <w:pPr>
        <w:tabs>
          <w:tab w:val="num" w:pos="0"/>
        </w:tabs>
        <w:jc w:val="both"/>
      </w:pPr>
      <w:r>
        <w:t>Šo lēmumu var apstrīdēt</w:t>
      </w:r>
      <w:r w:rsidR="00D834E5">
        <w:t xml:space="preserve"> </w:t>
      </w:r>
      <w:proofErr w:type="spellStart"/>
      <w:r w:rsidR="00D834E5" w:rsidRPr="006A4844">
        <w:t>Administatīvā</w:t>
      </w:r>
      <w:proofErr w:type="spellEnd"/>
      <w:r w:rsidR="00D834E5" w:rsidRPr="006A4844">
        <w:t xml:space="preserve"> procesa likuma noteiktajā kārtībā viena mēneša laikā no lēmuma pieņemšanas dienas</w:t>
      </w:r>
      <w:r>
        <w:t>.</w:t>
      </w:r>
    </w:p>
    <w:p w:rsidR="00405AC5" w:rsidRDefault="00405AC5" w:rsidP="00405AC5">
      <w:pPr>
        <w:rPr>
          <w:sz w:val="16"/>
          <w:szCs w:val="16"/>
        </w:rPr>
      </w:pPr>
    </w:p>
    <w:p w:rsidR="004E099A" w:rsidRDefault="004E099A" w:rsidP="00405AC5"/>
    <w:p w:rsidR="00405AC5" w:rsidRDefault="00405AC5" w:rsidP="00405AC5">
      <w:r w:rsidRPr="00C906A3">
        <w:t>Sēdes beigu laiks:</w:t>
      </w:r>
      <w:r w:rsidRPr="00DA16F8">
        <w:t xml:space="preserve"> </w:t>
      </w:r>
      <w:r w:rsidR="003765C1">
        <w:t>11:</w:t>
      </w:r>
      <w:r w:rsidR="00FA32F4">
        <w:t>40</w:t>
      </w:r>
    </w:p>
    <w:p w:rsidR="00405AC5" w:rsidRDefault="00405AC5" w:rsidP="00405AC5">
      <w:pPr>
        <w:rPr>
          <w:sz w:val="8"/>
          <w:szCs w:val="8"/>
        </w:rPr>
      </w:pPr>
    </w:p>
    <w:p w:rsidR="004E099A" w:rsidRDefault="004E099A" w:rsidP="004E099A"/>
    <w:p w:rsidR="00FA54D4" w:rsidRDefault="00405AC5" w:rsidP="004E099A">
      <w:r>
        <w:t>Pielikumā:</w:t>
      </w:r>
      <w:r w:rsidR="00636CE1">
        <w:t xml:space="preserve"> </w:t>
      </w:r>
      <w:r>
        <w:t>E-izziņa</w:t>
      </w:r>
      <w:r w:rsidR="00211173">
        <w:t>s</w:t>
      </w:r>
      <w:r>
        <w:t xml:space="preserve"> uz </w:t>
      </w:r>
      <w:r w:rsidR="00BD2282">
        <w:t>3</w:t>
      </w:r>
      <w:r w:rsidR="00636CE1">
        <w:t xml:space="preserve"> lpp;</w:t>
      </w:r>
    </w:p>
    <w:p w:rsidR="00405AC5" w:rsidRDefault="00405AC5" w:rsidP="00405AC5">
      <w:pPr>
        <w:rPr>
          <w:sz w:val="8"/>
          <w:szCs w:val="8"/>
        </w:rPr>
      </w:pPr>
    </w:p>
    <w:p w:rsidR="00636CE1" w:rsidRDefault="00636CE1" w:rsidP="00405AC5">
      <w:pPr>
        <w:rPr>
          <w:sz w:val="8"/>
          <w:szCs w:val="8"/>
        </w:rPr>
      </w:pPr>
    </w:p>
    <w:p w:rsidR="00405AC5" w:rsidRDefault="00405AC5" w:rsidP="001D19E3">
      <w:pPr>
        <w:tabs>
          <w:tab w:val="left" w:pos="3060"/>
        </w:tabs>
        <w:spacing w:after="240" w:line="480" w:lineRule="auto"/>
        <w:jc w:val="right"/>
      </w:pPr>
      <w:r w:rsidRPr="003F23F3">
        <w:t xml:space="preserve">Komisijas locekļi: </w:t>
      </w:r>
      <w:r w:rsidRPr="003F23F3">
        <w:tab/>
      </w:r>
      <w:r w:rsidRPr="003F23F3">
        <w:tab/>
        <w:t xml:space="preserve">     </w:t>
      </w:r>
      <w:r>
        <w:t>J.Zvaigzne</w:t>
      </w:r>
      <w:r w:rsidRPr="003F23F3">
        <w:t xml:space="preserve"> __________________  </w:t>
      </w:r>
    </w:p>
    <w:p w:rsidR="00405AC5" w:rsidRDefault="001D19E3" w:rsidP="00405AC5">
      <w:pPr>
        <w:tabs>
          <w:tab w:val="left" w:pos="3060"/>
        </w:tabs>
        <w:spacing w:after="240" w:line="480" w:lineRule="auto"/>
        <w:jc w:val="right"/>
      </w:pPr>
      <w:r>
        <w:t>I.Kalniņš</w:t>
      </w:r>
      <w:r w:rsidR="00405AC5" w:rsidRPr="003F23F3">
        <w:t xml:space="preserve"> __________________</w:t>
      </w:r>
      <w:proofErr w:type="gramStart"/>
      <w:r w:rsidR="00405AC5" w:rsidRPr="003F23F3">
        <w:t xml:space="preserve">    </w:t>
      </w:r>
      <w:proofErr w:type="gramEnd"/>
    </w:p>
    <w:p w:rsidR="00823CFE" w:rsidRDefault="00FA2DF1" w:rsidP="00FA2DF1">
      <w:pPr>
        <w:tabs>
          <w:tab w:val="left" w:pos="3060"/>
        </w:tabs>
        <w:spacing w:after="240" w:line="480" w:lineRule="auto"/>
        <w:jc w:val="right"/>
      </w:pPr>
      <w:proofErr w:type="spellStart"/>
      <w:r>
        <w:t>L.Danileviča</w:t>
      </w:r>
      <w:proofErr w:type="spellEnd"/>
      <w:r w:rsidRPr="003F23F3">
        <w:t xml:space="preserve"> __________________ </w:t>
      </w:r>
    </w:p>
    <w:p w:rsidR="00FA2DF1" w:rsidRDefault="00823CFE" w:rsidP="00FA2DF1">
      <w:pPr>
        <w:tabs>
          <w:tab w:val="left" w:pos="3060"/>
        </w:tabs>
        <w:spacing w:after="240" w:line="480" w:lineRule="auto"/>
        <w:jc w:val="right"/>
      </w:pPr>
      <w:proofErr w:type="spellStart"/>
      <w:r w:rsidRPr="00885B23">
        <w:t>A.Liškovskis</w:t>
      </w:r>
      <w:proofErr w:type="spellEnd"/>
      <w:proofErr w:type="gramStart"/>
      <w:r w:rsidR="00FA2DF1" w:rsidRPr="003F23F3">
        <w:t xml:space="preserve">   </w:t>
      </w:r>
      <w:proofErr w:type="gramEnd"/>
      <w:r w:rsidRPr="003F23F3">
        <w:t>__________________</w:t>
      </w:r>
    </w:p>
    <w:p w:rsidR="007A7E33" w:rsidRDefault="007A7E33" w:rsidP="00FA2DF1">
      <w:pPr>
        <w:tabs>
          <w:tab w:val="left" w:pos="3060"/>
        </w:tabs>
        <w:spacing w:after="240" w:line="480" w:lineRule="auto"/>
        <w:jc w:val="right"/>
      </w:pPr>
      <w:r w:rsidRPr="00885B23">
        <w:t>J.Firsts</w:t>
      </w:r>
      <w:r>
        <w:t xml:space="preserve"> </w:t>
      </w:r>
      <w:r>
        <w:softHyphen/>
      </w:r>
      <w:r w:rsidRPr="003F23F3">
        <w:t>__________________</w:t>
      </w:r>
    </w:p>
    <w:p w:rsidR="00A44587" w:rsidRDefault="00405AC5" w:rsidP="00DC5D6B">
      <w:pPr>
        <w:tabs>
          <w:tab w:val="left" w:pos="3060"/>
        </w:tabs>
        <w:spacing w:line="480" w:lineRule="auto"/>
      </w:pPr>
      <w:r w:rsidRPr="003F23F3">
        <w:tab/>
        <w:t>Protokolēja:</w:t>
      </w:r>
      <w:proofErr w:type="gramStart"/>
      <w:r w:rsidRPr="003F23F3">
        <w:t xml:space="preserve">            </w:t>
      </w:r>
      <w:proofErr w:type="gramEnd"/>
      <w:r w:rsidR="00130794">
        <w:tab/>
      </w:r>
      <w:r w:rsidR="00130794">
        <w:tab/>
      </w:r>
      <w:r w:rsidRPr="003F23F3">
        <w:t xml:space="preserve">    </w:t>
      </w:r>
      <w:proofErr w:type="spellStart"/>
      <w:r w:rsidR="00FA2DF1">
        <w:t>I.Viegliņa</w:t>
      </w:r>
      <w:proofErr w:type="spellEnd"/>
      <w:r w:rsidR="00130794">
        <w:t xml:space="preserve"> </w:t>
      </w:r>
      <w:r w:rsidRPr="003F23F3">
        <w:t>__________________</w:t>
      </w:r>
    </w:p>
    <w:p w:rsidR="00130794" w:rsidRDefault="00130794" w:rsidP="001D19E3">
      <w:pPr>
        <w:spacing w:after="160" w:line="259" w:lineRule="auto"/>
        <w:sectPr w:rsidR="00130794" w:rsidSect="00EB39B6">
          <w:pgSz w:w="11906" w:h="16838"/>
          <w:pgMar w:top="993" w:right="991" w:bottom="1276" w:left="1276" w:header="708" w:footer="708" w:gutter="0"/>
          <w:cols w:space="708"/>
          <w:docGrid w:linePitch="360"/>
        </w:sectPr>
      </w:pPr>
    </w:p>
    <w:p w:rsidR="00130794" w:rsidRDefault="00130794" w:rsidP="001D19E3">
      <w:pPr>
        <w:tabs>
          <w:tab w:val="left" w:pos="3060"/>
        </w:tabs>
        <w:spacing w:line="480" w:lineRule="auto"/>
      </w:pPr>
    </w:p>
    <w:sectPr w:rsidR="00130794" w:rsidSect="00130794">
      <w:headerReference w:type="first" r:id="rId7"/>
      <w:pgSz w:w="11906" w:h="16838"/>
      <w:pgMar w:top="1276" w:right="99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AC5" w:rsidRDefault="00405AC5" w:rsidP="00405AC5">
      <w:r>
        <w:separator/>
      </w:r>
    </w:p>
  </w:endnote>
  <w:endnote w:type="continuationSeparator" w:id="0">
    <w:p w:rsidR="00405AC5" w:rsidRDefault="00405AC5" w:rsidP="00405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D2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Italic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AC5" w:rsidRDefault="00405AC5" w:rsidP="00405AC5">
      <w:r>
        <w:separator/>
      </w:r>
    </w:p>
  </w:footnote>
  <w:footnote w:type="continuationSeparator" w:id="0">
    <w:p w:rsidR="00405AC5" w:rsidRDefault="00405AC5" w:rsidP="00405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C76" w:rsidRPr="00130794" w:rsidRDefault="00FA32F4" w:rsidP="001307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42631"/>
    <w:multiLevelType w:val="hybridMultilevel"/>
    <w:tmpl w:val="D9AE7A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37C37"/>
    <w:multiLevelType w:val="hybridMultilevel"/>
    <w:tmpl w:val="C02ABB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0867"/>
    <w:multiLevelType w:val="hybridMultilevel"/>
    <w:tmpl w:val="AD2295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A59AC"/>
    <w:multiLevelType w:val="hybridMultilevel"/>
    <w:tmpl w:val="FFBC98F0"/>
    <w:lvl w:ilvl="0" w:tplc="F00EE5FE">
      <w:start w:val="20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62CC0"/>
    <w:multiLevelType w:val="hybridMultilevel"/>
    <w:tmpl w:val="025E42A8"/>
    <w:lvl w:ilvl="0" w:tplc="1046C2DC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3929F9"/>
    <w:multiLevelType w:val="hybridMultilevel"/>
    <w:tmpl w:val="5650D0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C75CD"/>
    <w:multiLevelType w:val="hybridMultilevel"/>
    <w:tmpl w:val="FA6A5C10"/>
    <w:lvl w:ilvl="0" w:tplc="9BDCDF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3D77B6F"/>
    <w:multiLevelType w:val="hybridMultilevel"/>
    <w:tmpl w:val="EAEE4FA2"/>
    <w:lvl w:ilvl="0" w:tplc="F9C0F356">
      <w:start w:val="1"/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EA56F37"/>
    <w:multiLevelType w:val="multilevel"/>
    <w:tmpl w:val="7B7808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AC5"/>
    <w:rsid w:val="000329C4"/>
    <w:rsid w:val="000D6561"/>
    <w:rsid w:val="00130794"/>
    <w:rsid w:val="00147FEE"/>
    <w:rsid w:val="001D19E3"/>
    <w:rsid w:val="00211173"/>
    <w:rsid w:val="00224442"/>
    <w:rsid w:val="002B3BA1"/>
    <w:rsid w:val="00330038"/>
    <w:rsid w:val="0034676A"/>
    <w:rsid w:val="00356671"/>
    <w:rsid w:val="003765C1"/>
    <w:rsid w:val="004036FE"/>
    <w:rsid w:val="0040416F"/>
    <w:rsid w:val="00405AC5"/>
    <w:rsid w:val="0048790D"/>
    <w:rsid w:val="004E099A"/>
    <w:rsid w:val="00511B72"/>
    <w:rsid w:val="00555CB9"/>
    <w:rsid w:val="005D3F52"/>
    <w:rsid w:val="005E1B1C"/>
    <w:rsid w:val="00627ECB"/>
    <w:rsid w:val="00636CE1"/>
    <w:rsid w:val="00695FDB"/>
    <w:rsid w:val="00722176"/>
    <w:rsid w:val="0075480E"/>
    <w:rsid w:val="00782CA4"/>
    <w:rsid w:val="00797701"/>
    <w:rsid w:val="007A7E33"/>
    <w:rsid w:val="007F759A"/>
    <w:rsid w:val="00820287"/>
    <w:rsid w:val="00823CFE"/>
    <w:rsid w:val="00970DB3"/>
    <w:rsid w:val="0098309D"/>
    <w:rsid w:val="00A44587"/>
    <w:rsid w:val="00A518F2"/>
    <w:rsid w:val="00B549DE"/>
    <w:rsid w:val="00BD2282"/>
    <w:rsid w:val="00C6059A"/>
    <w:rsid w:val="00CC6C75"/>
    <w:rsid w:val="00D02289"/>
    <w:rsid w:val="00D1385C"/>
    <w:rsid w:val="00D834E5"/>
    <w:rsid w:val="00DC5D6B"/>
    <w:rsid w:val="00EB39B6"/>
    <w:rsid w:val="00F5553D"/>
    <w:rsid w:val="00FA2DF1"/>
    <w:rsid w:val="00FA32F4"/>
    <w:rsid w:val="00FA54D4"/>
    <w:rsid w:val="00FF423E"/>
    <w:rsid w:val="00FF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docId w15:val="{C6551567-092D-4A32-B814-1A430667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u w:val="single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AC5"/>
    <w:pPr>
      <w:spacing w:after="0" w:line="240" w:lineRule="auto"/>
    </w:pPr>
    <w:rPr>
      <w:rFonts w:eastAsia="Times New Roman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05A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5AC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5AC5"/>
    <w:rPr>
      <w:rFonts w:eastAsia="Times New Roman"/>
      <w:u w:val="none"/>
    </w:rPr>
  </w:style>
  <w:style w:type="character" w:styleId="Hyperlink">
    <w:name w:val="Hyperlink"/>
    <w:basedOn w:val="DefaultParagraphFont"/>
    <w:rsid w:val="00405AC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1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173"/>
    <w:rPr>
      <w:rFonts w:ascii="Segoe UI" w:eastAsia="Times New Roman" w:hAnsi="Segoe UI" w:cs="Segoe UI"/>
      <w:sz w:val="18"/>
      <w:szCs w:val="18"/>
      <w:u w:val="none"/>
    </w:rPr>
  </w:style>
  <w:style w:type="paragraph" w:customStyle="1" w:styleId="Default">
    <w:name w:val="Default"/>
    <w:rsid w:val="0098309D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u w:val="none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13079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0794"/>
    <w:rPr>
      <w:rFonts w:eastAsia="Times New Roman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4</Pages>
  <Words>2889</Words>
  <Characters>1648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Blate</dc:creator>
  <cp:keywords/>
  <dc:description/>
  <cp:lastModifiedBy>Līga Blate</cp:lastModifiedBy>
  <cp:revision>29</cp:revision>
  <cp:lastPrinted>2016-06-01T09:07:00Z</cp:lastPrinted>
  <dcterms:created xsi:type="dcterms:W3CDTF">2016-04-25T07:31:00Z</dcterms:created>
  <dcterms:modified xsi:type="dcterms:W3CDTF">2016-06-14T07:24:00Z</dcterms:modified>
</cp:coreProperties>
</file>